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F28E" w14:textId="77777777" w:rsidR="00A2304F" w:rsidRDefault="00CE4CFF" w:rsidP="00167FE5">
      <w:pPr>
        <w:pStyle w:val="PENULIS"/>
        <w:spacing w:before="360" w:after="360"/>
        <w:rPr>
          <w:b/>
          <w:caps w:val="0"/>
          <w:sz w:val="24"/>
          <w:lang w:val="en-ID"/>
        </w:rPr>
      </w:pPr>
      <w:bookmarkStart w:id="0" w:name="_Hlk128127369"/>
      <w:bookmarkStart w:id="1" w:name="_Hlk173057780"/>
      <w:r w:rsidRPr="00CE4CFF">
        <w:rPr>
          <w:b/>
          <w:bCs w:val="0"/>
          <w:caps w:val="0"/>
          <w:color w:val="000000"/>
          <w:sz w:val="28"/>
          <w:szCs w:val="28"/>
          <w:lang w:val="en"/>
        </w:rPr>
        <w:t>The</w:t>
      </w:r>
      <w:r w:rsidR="00E42CCB">
        <w:rPr>
          <w:b/>
          <w:bCs w:val="0"/>
          <w:caps w:val="0"/>
          <w:color w:val="000000"/>
          <w:sz w:val="28"/>
          <w:szCs w:val="28"/>
          <w:lang w:val="en"/>
        </w:rPr>
        <w:t xml:space="preserve"> Effectiveness of the Resolution of Non-Performing Financing at</w:t>
      </w:r>
      <w:r w:rsidRPr="00CE4CFF">
        <w:rPr>
          <w:b/>
          <w:bCs w:val="0"/>
          <w:caps w:val="0"/>
          <w:color w:val="000000"/>
          <w:sz w:val="28"/>
          <w:szCs w:val="28"/>
          <w:lang w:val="en"/>
        </w:rPr>
        <w:t xml:space="preserve"> BSI KC Palangka Raya Diponegoro Through </w:t>
      </w:r>
      <w:r w:rsidR="00207218">
        <w:rPr>
          <w:b/>
          <w:bCs w:val="0"/>
          <w:caps w:val="0"/>
          <w:color w:val="000000"/>
          <w:sz w:val="28"/>
          <w:szCs w:val="28"/>
          <w:lang w:val="en"/>
        </w:rPr>
        <w:t>Small Claim Court</w:t>
      </w:r>
      <w:r w:rsidR="00207218">
        <w:rPr>
          <w:b/>
          <w:caps w:val="0"/>
          <w:sz w:val="24"/>
          <w:lang w:val="en-ID"/>
        </w:rPr>
        <w:t xml:space="preserve"> </w:t>
      </w:r>
    </w:p>
    <w:p w14:paraId="0B3C249B" w14:textId="77777777" w:rsidR="006D0718" w:rsidRPr="004B3A16" w:rsidRDefault="00207218" w:rsidP="00167FE5">
      <w:pPr>
        <w:pStyle w:val="PENULIS"/>
        <w:spacing w:before="360" w:after="360"/>
        <w:rPr>
          <w:b/>
          <w:caps w:val="0"/>
          <w:sz w:val="24"/>
        </w:rPr>
      </w:pPr>
      <w:r>
        <w:rPr>
          <w:b/>
          <w:caps w:val="0"/>
          <w:sz w:val="24"/>
          <w:lang w:val="en-ID"/>
        </w:rPr>
        <w:t>Nurul Ayatul Maimunah</w:t>
      </w:r>
      <w:r w:rsidRPr="006E6581">
        <w:rPr>
          <w:b/>
          <w:caps w:val="0"/>
          <w:sz w:val="24"/>
          <w:vertAlign w:val="superscript"/>
          <w:lang w:val="en-ID"/>
        </w:rPr>
        <w:t>1</w:t>
      </w:r>
      <w:r w:rsidRPr="006E6581">
        <w:rPr>
          <w:b/>
          <w:caps w:val="0"/>
          <w:sz w:val="24"/>
          <w:lang w:val="en-ID"/>
        </w:rPr>
        <w:t xml:space="preserve">, </w:t>
      </w:r>
      <w:r>
        <w:rPr>
          <w:b/>
          <w:caps w:val="0"/>
          <w:sz w:val="24"/>
          <w:lang w:val="en-ID"/>
        </w:rPr>
        <w:t>Muhammad Zainal Arifin</w:t>
      </w:r>
      <w:r w:rsidRPr="006E6581">
        <w:rPr>
          <w:b/>
          <w:caps w:val="0"/>
          <w:sz w:val="24"/>
          <w:vertAlign w:val="superscript"/>
          <w:lang w:val="en-ID"/>
        </w:rPr>
        <w:t>2</w:t>
      </w:r>
      <w:r>
        <w:rPr>
          <w:b/>
          <w:caps w:val="0"/>
          <w:sz w:val="24"/>
          <w:vertAlign w:val="superscript"/>
          <w:lang w:val="en-ID"/>
        </w:rPr>
        <w:t xml:space="preserve">, </w:t>
      </w:r>
      <w:r>
        <w:rPr>
          <w:b/>
          <w:caps w:val="0"/>
          <w:sz w:val="24"/>
          <w:lang w:val="en-ID"/>
        </w:rPr>
        <w:t>Fadiah Adlina</w:t>
      </w:r>
      <w:r>
        <w:rPr>
          <w:b/>
          <w:caps w:val="0"/>
          <w:sz w:val="24"/>
          <w:vertAlign w:val="superscript"/>
          <w:lang w:val="en-ID"/>
        </w:rPr>
        <w:t xml:space="preserve"> 3</w:t>
      </w:r>
    </w:p>
    <w:bookmarkEnd w:id="0"/>
    <w:p w14:paraId="3129569B" w14:textId="4E4E96FC" w:rsidR="003466EA" w:rsidRPr="003466EA" w:rsidRDefault="00207218" w:rsidP="00DC6FA1">
      <w:pPr>
        <w:pStyle w:val="INSTANSI"/>
        <w:spacing w:line="276" w:lineRule="auto"/>
        <w:rPr>
          <w:i w:val="0"/>
          <w:color w:val="000000"/>
          <w:sz w:val="24"/>
          <w:vertAlign w:val="superscript"/>
        </w:rPr>
      </w:pPr>
      <w:r w:rsidRPr="00A2304F">
        <w:rPr>
          <w:i w:val="0"/>
          <w:color w:val="000000"/>
          <w:sz w:val="24"/>
        </w:rPr>
        <w:t>IAIN Palangka Raya</w:t>
      </w:r>
      <w:r w:rsidR="003466EA">
        <w:rPr>
          <w:i w:val="0"/>
          <w:color w:val="000000"/>
          <w:sz w:val="24"/>
        </w:rPr>
        <w:t>, Indonesia</w:t>
      </w:r>
      <w:r w:rsidR="003466EA">
        <w:rPr>
          <w:i w:val="0"/>
          <w:color w:val="000000"/>
          <w:sz w:val="24"/>
          <w:vertAlign w:val="superscript"/>
        </w:rPr>
        <w:t>1,2,3</w:t>
      </w:r>
    </w:p>
    <w:p w14:paraId="5246E0DC" w14:textId="77F29ACB" w:rsidR="006E6581" w:rsidRDefault="00207218" w:rsidP="00DC6FA1">
      <w:pPr>
        <w:pStyle w:val="INSTANSI"/>
        <w:spacing w:line="276" w:lineRule="auto"/>
        <w:rPr>
          <w:i w:val="0"/>
          <w:iCs/>
          <w:sz w:val="24"/>
          <w:lang w:val="en-ID"/>
        </w:rPr>
      </w:pPr>
      <w:r>
        <w:rPr>
          <w:i w:val="0"/>
          <w:iCs/>
          <w:sz w:val="24"/>
          <w:lang w:val="en-ID"/>
        </w:rPr>
        <w:t xml:space="preserve"> </w:t>
      </w:r>
      <w:hyperlink r:id="rId8" w:history="1">
        <w:r w:rsidR="000F463D" w:rsidRPr="000F463D">
          <w:rPr>
            <w:rStyle w:val="Hyperlink"/>
            <w:i w:val="0"/>
            <w:iCs/>
            <w:color w:val="auto"/>
            <w:sz w:val="24"/>
            <w:u w:val="none"/>
            <w:lang w:val="en-ID"/>
          </w:rPr>
          <w:t>nurulayatu@gmail.com</w:t>
        </w:r>
      </w:hyperlink>
    </w:p>
    <w:p w14:paraId="38116CD0" w14:textId="77777777" w:rsidR="000F463D" w:rsidRPr="006C6C36" w:rsidRDefault="000F463D" w:rsidP="00DC6FA1">
      <w:pPr>
        <w:pStyle w:val="INSTANSI"/>
        <w:spacing w:line="276" w:lineRule="auto"/>
        <w:rPr>
          <w:bCs w:val="0"/>
          <w:i w:val="0"/>
          <w:iCs/>
          <w:sz w:val="24"/>
        </w:rPr>
      </w:pPr>
    </w:p>
    <w:p w14:paraId="042D29AC" w14:textId="5ADD23A8" w:rsidR="006D0718" w:rsidRPr="003466EA" w:rsidRDefault="00207218" w:rsidP="006D0718">
      <w:pPr>
        <w:pStyle w:val="INSTANSI"/>
        <w:pBdr>
          <w:bottom w:val="single" w:sz="12" w:space="1" w:color="auto"/>
        </w:pBdr>
        <w:spacing w:line="276" w:lineRule="auto"/>
        <w:rPr>
          <w:iCs/>
          <w:szCs w:val="22"/>
        </w:rPr>
      </w:pPr>
      <w:r w:rsidRPr="003466EA">
        <w:rPr>
          <w:iCs/>
          <w:szCs w:val="22"/>
        </w:rPr>
        <w:t xml:space="preserve">Received: </w:t>
      </w:r>
      <w:r w:rsidR="003466EA" w:rsidRPr="003466EA">
        <w:rPr>
          <w:iCs/>
          <w:szCs w:val="22"/>
        </w:rPr>
        <w:t>14-02-25</w:t>
      </w:r>
      <w:r w:rsidRPr="003466EA">
        <w:rPr>
          <w:iCs/>
          <w:szCs w:val="22"/>
        </w:rPr>
        <w:t>; Revised:</w:t>
      </w:r>
      <w:r w:rsidR="003466EA" w:rsidRPr="003466EA">
        <w:rPr>
          <w:iCs/>
          <w:szCs w:val="22"/>
        </w:rPr>
        <w:t xml:space="preserve"> 24-03-25</w:t>
      </w:r>
      <w:r w:rsidRPr="003466EA">
        <w:rPr>
          <w:iCs/>
          <w:szCs w:val="22"/>
        </w:rPr>
        <w:t>; Accepted:</w:t>
      </w:r>
      <w:r w:rsidR="003466EA" w:rsidRPr="003466EA">
        <w:rPr>
          <w:iCs/>
          <w:szCs w:val="22"/>
        </w:rPr>
        <w:t xml:space="preserve"> 25-04-25</w:t>
      </w:r>
      <w:r w:rsidRPr="003466EA">
        <w:rPr>
          <w:iCs/>
          <w:szCs w:val="22"/>
        </w:rPr>
        <w:t>;</w:t>
      </w:r>
    </w:p>
    <w:p w14:paraId="53A4657A" w14:textId="77777777" w:rsidR="006D0718" w:rsidRDefault="006D0718" w:rsidP="006D0718">
      <w:pPr>
        <w:pStyle w:val="INSTANSI"/>
        <w:spacing w:line="276" w:lineRule="auto"/>
        <w:rPr>
          <w:i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A26235" w14:paraId="1E3C237B" w14:textId="77777777" w:rsidTr="00A10C72">
        <w:tc>
          <w:tcPr>
            <w:tcW w:w="2547" w:type="dxa"/>
          </w:tcPr>
          <w:p w14:paraId="64D5E9C9" w14:textId="77777777" w:rsidR="006D0718" w:rsidRPr="00DE78D6" w:rsidRDefault="00207218" w:rsidP="00A10C72">
            <w:pPr>
              <w:pStyle w:val="KEYWORD"/>
              <w:spacing w:after="120"/>
              <w:ind w:left="0" w:firstLine="0"/>
              <w:jc w:val="left"/>
              <w:rPr>
                <w:i/>
                <w:sz w:val="24"/>
                <w:szCs w:val="24"/>
              </w:rPr>
            </w:pPr>
            <w:r w:rsidRPr="00DE78D6">
              <w:rPr>
                <w:b/>
                <w:bCs w:val="0"/>
                <w:i/>
                <w:sz w:val="24"/>
                <w:szCs w:val="24"/>
              </w:rPr>
              <w:t>Keywords:</w:t>
            </w:r>
            <w:r w:rsidRPr="00DE78D6">
              <w:rPr>
                <w:i/>
                <w:sz w:val="24"/>
                <w:szCs w:val="24"/>
              </w:rPr>
              <w:t xml:space="preserve"> </w:t>
            </w:r>
            <w:r w:rsidR="00ED0DE9">
              <w:rPr>
                <w:i/>
                <w:sz w:val="24"/>
                <w:szCs w:val="24"/>
              </w:rPr>
              <w:t>N</w:t>
            </w:r>
            <w:r w:rsidR="00E42CCB">
              <w:rPr>
                <w:i/>
                <w:sz w:val="24"/>
                <w:szCs w:val="24"/>
              </w:rPr>
              <w:t>on- Performing Financing; Resolution</w:t>
            </w:r>
            <w:r w:rsidR="00ED0DE9">
              <w:rPr>
                <w:i/>
                <w:sz w:val="24"/>
                <w:szCs w:val="24"/>
              </w:rPr>
              <w:t>; Small Claim Court</w:t>
            </w:r>
          </w:p>
          <w:p w14:paraId="7D76B682" w14:textId="77777777" w:rsidR="006D0718" w:rsidRDefault="006D0718" w:rsidP="00A10C72">
            <w:pPr>
              <w:pStyle w:val="ABSTRACTJUDUL"/>
              <w:ind w:left="0"/>
              <w:jc w:val="center"/>
              <w:rPr>
                <w:i w:val="0"/>
                <w:iCs/>
                <w:sz w:val="24"/>
                <w:szCs w:val="24"/>
              </w:rPr>
            </w:pPr>
          </w:p>
        </w:tc>
        <w:tc>
          <w:tcPr>
            <w:tcW w:w="6513" w:type="dxa"/>
          </w:tcPr>
          <w:p w14:paraId="4E44880C" w14:textId="77777777" w:rsidR="00D10A38" w:rsidRPr="008D3E36" w:rsidRDefault="00207218" w:rsidP="008D3E36">
            <w:pPr>
              <w:pStyle w:val="ABSTRACTJUDUL"/>
              <w:pBdr>
                <w:bottom w:val="single" w:sz="12" w:space="1" w:color="auto"/>
              </w:pBdr>
              <w:ind w:left="0"/>
              <w:jc w:val="center"/>
              <w:rPr>
                <w:i w:val="0"/>
                <w:iCs/>
                <w:sz w:val="24"/>
                <w:szCs w:val="24"/>
              </w:rPr>
            </w:pPr>
            <w:r w:rsidRPr="00DE78D6">
              <w:rPr>
                <w:i w:val="0"/>
                <w:iCs/>
                <w:sz w:val="24"/>
                <w:szCs w:val="24"/>
              </w:rPr>
              <w:t>ABSTRACT</w:t>
            </w:r>
            <w:r w:rsidR="008D3E36">
              <w:rPr>
                <w:i w:val="0"/>
                <w:iCs/>
                <w:sz w:val="24"/>
                <w:szCs w:val="24"/>
              </w:rPr>
              <w:t xml:space="preserve"> </w:t>
            </w:r>
          </w:p>
          <w:p w14:paraId="362400B6" w14:textId="22CE2009" w:rsidR="006D0718" w:rsidRPr="006C7945" w:rsidRDefault="006C7945" w:rsidP="006C7945">
            <w:pPr>
              <w:jc w:val="both"/>
              <w:rPr>
                <w:rFonts w:ascii="Garamond" w:eastAsia="Calibri" w:hAnsi="Garamond" w:cs="Arial"/>
                <w:i/>
                <w:iCs/>
                <w:sz w:val="24"/>
                <w:szCs w:val="24"/>
              </w:rPr>
            </w:pPr>
            <w:r w:rsidRPr="006C7945">
              <w:rPr>
                <w:rFonts w:ascii="Garamond" w:hAnsi="Garamond"/>
                <w:i/>
                <w:color w:val="000000"/>
                <w:sz w:val="24"/>
                <w:szCs w:val="24"/>
                <w:lang w:val="en"/>
              </w:rPr>
              <w:t>This research is motivated by the existence of non-performing financing at Bank Syariah Indonesia and previous research which explained various factors that cause non-performing financing and settlement carried out by Islamic Banking, especially Bank Syariah Indonesia. In particular, this study examines the handling of non-performing financing through a small claim court at BSI KC Palangka Raya Diponegoro. This study aims to identify the factors that cause non-performing financing in BSI KC Palangka Raya Diponegoro and identify the process of resolving non-performing financing through the Small Claim Court mechanism. In addition, by reviewing the Small Claim Court process, it is hoped that insight will be gained regarding the efficiency and effectiveness of using this method. The method used in this study is descriptive analysis by collecting data through observation, in-depth interviews and documentation. The results of the study show that the non-performing financing factor at BSI KC Palangka Raya Diponegoro is dominated by a lack of attention and a sense of responsibility from customers and supported by a lack of understanding in managing finances. The handling of non-performing financing at BSI KC Palangka Raya Diponegoro implements the settlement of the non-litigation and litigation routes. Decision-making using settlement with a small claim court is based on the client's character, the existence of psychological effects and efficient time and costs. Therefore, the importance of formulating an effective non-performing financing settlement policy and small claim court as an alternative to dispute resolution in Islamic banking can be a strategic consideration for BSI KC Palangka Raya Diponegoro to overcome non-performing financing.</w:t>
            </w:r>
          </w:p>
        </w:tc>
      </w:tr>
      <w:tr w:rsidR="00A26235" w14:paraId="3AC9BF6D" w14:textId="77777777" w:rsidTr="00A10C72">
        <w:tc>
          <w:tcPr>
            <w:tcW w:w="2547" w:type="dxa"/>
          </w:tcPr>
          <w:p w14:paraId="0429E59A" w14:textId="77777777" w:rsidR="006D0718" w:rsidRPr="00A2304F" w:rsidRDefault="00207218" w:rsidP="00BE113A">
            <w:pPr>
              <w:pStyle w:val="KEYWORD"/>
              <w:spacing w:before="240" w:after="240"/>
              <w:ind w:left="0" w:firstLine="0"/>
              <w:jc w:val="left"/>
              <w:rPr>
                <w:iCs/>
                <w:sz w:val="24"/>
                <w:szCs w:val="24"/>
              </w:rPr>
            </w:pPr>
            <w:r w:rsidRPr="00DE78D6">
              <w:rPr>
                <w:b/>
                <w:bCs w:val="0"/>
                <w:iCs/>
                <w:sz w:val="24"/>
                <w:szCs w:val="24"/>
              </w:rPr>
              <w:t>Kata Kunci:</w:t>
            </w:r>
            <w:r w:rsidRPr="00DE78D6">
              <w:rPr>
                <w:iCs/>
                <w:sz w:val="24"/>
                <w:szCs w:val="24"/>
              </w:rPr>
              <w:t xml:space="preserve"> </w:t>
            </w:r>
            <w:r w:rsidR="00A2304F" w:rsidRPr="00A2304F">
              <w:rPr>
                <w:rFonts w:cs="Times New Roman"/>
                <w:iCs/>
                <w:sz w:val="24"/>
                <w:szCs w:val="24"/>
                <w:lang w:val="en-US"/>
              </w:rPr>
              <w:t>Pembiayaan Bermasalah; Penyelesaian; Gugatan Sederhana</w:t>
            </w:r>
          </w:p>
          <w:p w14:paraId="5659F619" w14:textId="77777777" w:rsidR="006D0718" w:rsidRPr="00DE78D6" w:rsidRDefault="006D0718" w:rsidP="00A10C72">
            <w:pPr>
              <w:pStyle w:val="KEYWORD"/>
              <w:spacing w:after="120"/>
              <w:ind w:left="0" w:firstLine="0"/>
              <w:jc w:val="left"/>
              <w:rPr>
                <w:b/>
                <w:bCs w:val="0"/>
                <w:i/>
                <w:sz w:val="24"/>
                <w:szCs w:val="24"/>
              </w:rPr>
            </w:pPr>
          </w:p>
        </w:tc>
        <w:tc>
          <w:tcPr>
            <w:tcW w:w="6513" w:type="dxa"/>
          </w:tcPr>
          <w:p w14:paraId="5442FCEA" w14:textId="77777777" w:rsidR="006D0718" w:rsidRDefault="00207218" w:rsidP="00BE113A">
            <w:pPr>
              <w:pStyle w:val="KEYWORD"/>
              <w:pBdr>
                <w:bottom w:val="single" w:sz="12" w:space="1" w:color="auto"/>
              </w:pBdr>
              <w:spacing w:before="240"/>
              <w:ind w:left="0" w:firstLine="0"/>
              <w:jc w:val="center"/>
              <w:rPr>
                <w:b/>
                <w:bCs w:val="0"/>
                <w:iCs/>
                <w:sz w:val="24"/>
                <w:szCs w:val="24"/>
              </w:rPr>
            </w:pPr>
            <w:r w:rsidRPr="00DE78D6">
              <w:rPr>
                <w:b/>
                <w:bCs w:val="0"/>
                <w:iCs/>
                <w:sz w:val="24"/>
                <w:szCs w:val="24"/>
              </w:rPr>
              <w:t>ABSTRAK</w:t>
            </w:r>
            <w:r w:rsidR="00BE113A">
              <w:rPr>
                <w:b/>
                <w:bCs w:val="0"/>
                <w:iCs/>
                <w:sz w:val="24"/>
                <w:szCs w:val="24"/>
              </w:rPr>
              <w:t xml:space="preserve"> </w:t>
            </w:r>
          </w:p>
          <w:p w14:paraId="28ED8310" w14:textId="58AFC984" w:rsidR="006D0718" w:rsidRPr="00BB4740" w:rsidRDefault="00BB4740" w:rsidP="00BB4740">
            <w:pPr>
              <w:tabs>
                <w:tab w:val="center" w:pos="4960"/>
                <w:tab w:val="left" w:pos="8052"/>
              </w:tabs>
              <w:spacing w:before="120"/>
              <w:jc w:val="both"/>
              <w:rPr>
                <w:rFonts w:ascii="Garamond" w:hAnsi="Garamond" w:cs="Times New Roman"/>
                <w:iCs/>
                <w:sz w:val="24"/>
                <w:szCs w:val="24"/>
              </w:rPr>
            </w:pPr>
            <w:r w:rsidRPr="0017323B">
              <w:rPr>
                <w:rFonts w:ascii="Garamond" w:hAnsi="Garamond" w:cs="Times New Roman"/>
                <w:iCs/>
                <w:sz w:val="24"/>
                <w:szCs w:val="24"/>
              </w:rPr>
              <w:t xml:space="preserve">Penelitian ini dilatarbelakangi adanya pembiayaan bermasalah di Bank Syariah Indonesia dan penelitian sebelumnya yang memaparkan berbagai faktor penyebab pembiayaan bermasalah dan penyelesaian yang dilakukan oleh Perbankan syariah khususnya Bank Syariah Indonesia. Secara khusus penelitian ini mengkaji penanganan </w:t>
            </w:r>
            <w:r w:rsidRPr="0017323B">
              <w:rPr>
                <w:rFonts w:ascii="Garamond" w:hAnsi="Garamond" w:cs="Times New Roman"/>
                <w:iCs/>
                <w:sz w:val="24"/>
                <w:szCs w:val="24"/>
              </w:rPr>
              <w:lastRenderedPageBreak/>
              <w:t>pembiayaan bermasalah melalui gugatan sederhana di BSI KC Palangka Raya Diponegoro. Penelitian ini bertujuan untuk mengidentifikasi</w:t>
            </w:r>
            <w:r>
              <w:rPr>
                <w:rFonts w:ascii="Garamond" w:hAnsi="Garamond" w:cs="Times New Roman"/>
                <w:iCs/>
                <w:sz w:val="24"/>
                <w:szCs w:val="24"/>
              </w:rPr>
              <w:t xml:space="preserve"> </w:t>
            </w:r>
            <w:r w:rsidRPr="005E40C2">
              <w:rPr>
                <w:rFonts w:ascii="Garamond" w:hAnsi="Garamond" w:cs="Times New Roman"/>
                <w:sz w:val="24"/>
                <w:szCs w:val="24"/>
              </w:rPr>
              <w:t>faktor-faktor penyebab pembiayaan bermasalah di BSI KC Palangka Raya Diponegoro</w:t>
            </w:r>
            <w:r>
              <w:rPr>
                <w:rFonts w:ascii="Garamond" w:hAnsi="Garamond" w:cs="Times New Roman"/>
                <w:sz w:val="24"/>
                <w:szCs w:val="24"/>
              </w:rPr>
              <w:t xml:space="preserve"> serta mengidentifikasi </w:t>
            </w:r>
            <w:r w:rsidRPr="005E40C2">
              <w:rPr>
                <w:rFonts w:ascii="Garamond" w:hAnsi="Garamond" w:cs="Times New Roman"/>
                <w:sz w:val="24"/>
                <w:szCs w:val="24"/>
              </w:rPr>
              <w:t>proses penyelesaian pembiayaan bermasalah melalui mekanisme Small Claim Court</w:t>
            </w:r>
            <w:r w:rsidRPr="0017323B">
              <w:rPr>
                <w:rFonts w:ascii="Garamond" w:hAnsi="Garamond" w:cs="Times New Roman"/>
                <w:iCs/>
                <w:sz w:val="24"/>
                <w:szCs w:val="24"/>
              </w:rPr>
              <w:t>. Selain itu dengan mengkaji proses gugatan sederhana harapannya diperoleh wawasan mengenai efisensi dan efektivitas menggunakan metode ini. Metode yang digunakan dalam penelitian ini adalah analisis deskriptif dengan mengumpulkan data melalui observasi, wawancara mendalam dan dokumentasi. Hasil penelitian menunjukkan bahwa faktor pembiayaan bermasalah di BSI KC</w:t>
            </w:r>
            <w:r>
              <w:rPr>
                <w:rFonts w:ascii="Garamond" w:hAnsi="Garamond" w:cs="Times New Roman"/>
                <w:iCs/>
                <w:sz w:val="24"/>
                <w:szCs w:val="24"/>
              </w:rPr>
              <w:t xml:space="preserve"> Palangka Raya Diponegoro didominasi oleh </w:t>
            </w:r>
            <w:r w:rsidRPr="0017323B">
              <w:rPr>
                <w:rFonts w:ascii="Garamond" w:hAnsi="Garamond" w:cs="Times New Roman"/>
                <w:iCs/>
                <w:sz w:val="24"/>
                <w:szCs w:val="24"/>
              </w:rPr>
              <w:t>kurangnya</w:t>
            </w:r>
            <w:r>
              <w:rPr>
                <w:rFonts w:ascii="Garamond" w:hAnsi="Garamond" w:cs="Times New Roman"/>
                <w:iCs/>
                <w:sz w:val="24"/>
                <w:szCs w:val="24"/>
              </w:rPr>
              <w:t xml:space="preserve"> perhatian dan</w:t>
            </w:r>
            <w:r w:rsidRPr="0017323B">
              <w:rPr>
                <w:rFonts w:ascii="Garamond" w:hAnsi="Garamond" w:cs="Times New Roman"/>
                <w:iCs/>
                <w:sz w:val="24"/>
                <w:szCs w:val="24"/>
              </w:rPr>
              <w:t xml:space="preserve"> rasa tanggung jawab nasabah serta didukung dengan kurangnya pemahaman dalam mengelola finansial. Penanganan pembiayaan bermasalah di BSI KC Palangka Raya Diponegoro menerapkan penyelesaian jalur n</w:t>
            </w:r>
            <w:r>
              <w:rPr>
                <w:rFonts w:ascii="Garamond" w:hAnsi="Garamond" w:cs="Times New Roman"/>
                <w:iCs/>
                <w:sz w:val="24"/>
                <w:szCs w:val="24"/>
              </w:rPr>
              <w:t>on litigasi dan jalur litigasi. Pengambilan keputusan menggunakan penyelesaian dengan gugatan sederhana didasarkan pada karakter nasabah, adanya efek psikologis dan waktu serta biaya yang efisien. Oleh karena itu, pentingnya merumuskan kebijakan penyelesaian pembiayaan bermasalah yang efektif serta small claim court sebagai alternatif penyelesaian sengketa di perbankan syariah dapat menjadi pertimbangan strategis BSI KC Palangka Raya Diponegoro untuk mengatasi pembiayaan bermasalah.</w:t>
            </w:r>
          </w:p>
        </w:tc>
      </w:tr>
    </w:tbl>
    <w:bookmarkEnd w:id="1"/>
    <w:p w14:paraId="621C26E3" w14:textId="77777777" w:rsidR="0057515B" w:rsidRPr="0057515B" w:rsidRDefault="00207218" w:rsidP="00DC6FA1">
      <w:pPr>
        <w:spacing w:before="240" w:after="120" w:line="276" w:lineRule="auto"/>
        <w:jc w:val="both"/>
        <w:rPr>
          <w:rFonts w:ascii="Garamond" w:eastAsia="Calibri" w:hAnsi="Garamond" w:cs="Calibri"/>
          <w:kern w:val="0"/>
          <w:sz w:val="24"/>
          <w:lang w:val="id-ID"/>
          <w14:ligatures w14:val="none"/>
        </w:rPr>
      </w:pPr>
      <w:r w:rsidRPr="0057515B">
        <w:rPr>
          <w:rFonts w:ascii="Garamond" w:eastAsia="Calibri" w:hAnsi="Garamond" w:cs="Calibri"/>
          <w:b/>
          <w:kern w:val="0"/>
          <w:sz w:val="24"/>
          <w:lang w:val="id-ID"/>
          <w14:ligatures w14:val="none"/>
        </w:rPr>
        <w:lastRenderedPageBreak/>
        <w:t>INTRODUCTION</w:t>
      </w:r>
      <w:r w:rsidR="002C3ADB">
        <w:rPr>
          <w:rFonts w:ascii="Garamond" w:eastAsia="Calibri" w:hAnsi="Garamond" w:cs="Calibri"/>
          <w:b/>
          <w:kern w:val="0"/>
          <w:sz w:val="24"/>
          <w:lang w:val="id-ID"/>
          <w14:ligatures w14:val="none"/>
        </w:rPr>
        <w:t xml:space="preserve"> </w:t>
      </w:r>
    </w:p>
    <w:p w14:paraId="6D0CC600" w14:textId="64624D64" w:rsidR="006247F1" w:rsidRDefault="006247F1" w:rsidP="00647163">
      <w:pPr>
        <w:tabs>
          <w:tab w:val="left" w:pos="7920"/>
        </w:tabs>
        <w:spacing w:line="276" w:lineRule="auto"/>
        <w:ind w:firstLine="567"/>
        <w:contextualSpacing/>
        <w:jc w:val="both"/>
        <w:rPr>
          <w:rFonts w:ascii="Garamond" w:hAnsi="Garamond" w:cs="Times New Roman"/>
          <w:sz w:val="24"/>
          <w:szCs w:val="24"/>
        </w:rPr>
      </w:pPr>
      <w:r w:rsidRPr="006247F1">
        <w:rPr>
          <w:rFonts w:ascii="Garamond" w:hAnsi="Garamond" w:cs="Times New Roman"/>
          <w:sz w:val="24"/>
          <w:szCs w:val="24"/>
        </w:rPr>
        <w:t>Banks are the country's economic centers that provide financing to various sectors to support the flow of funds from surplus to deficit</w:t>
      </w:r>
      <w:r>
        <w:rPr>
          <w:rFonts w:ascii="Garamond" w:hAnsi="Garamond" w:cs="Times New Roman"/>
          <w:sz w:val="24"/>
          <w:szCs w:val="24"/>
        </w:rPr>
        <w:t xml:space="preserve"> </w:t>
      </w:r>
      <w:r>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{"citationItems":[{"id":"ITEM-1","itemData":{"author":[{"dropping-particle":"","family":"Ahmad","given":"Wahida","non-dropping-particle":"","parse-names":false,"suffix":""},{"dropping-particle":"","family":"Amran","given":"Nur Hazimah","non-dropping-particle":"","parse-names":false,"suffix":""},{"dropping-particle":"","family":"Haris","given":"Sharazad","non-dropping-particle":"","parse-names":false,"suffix":""}],"id":"ITEM-1","issue":"3","issued":{"date-parts":[["2022"]]},"title":"Malaysian Household Debt : The Impact of Covid-19 on Non-Performing Financing","type":"article-journal","volume":"21"},"uris":["http://www.mendeley.com/documents/?uuid=39b4c244-1c60-44af-9ef9-27b570d2cba7","http://www.mendeley.com/documents/?uuid=f2bd2a39-657a-43b2-8fc8-48cfd1166866"]}],"mendeley":{"formattedCitation":"(Ahmad, Amran, and Haris 2022)","plainTextFormattedCitation":"(Ahmad, Amran, and Haris 2022)","previouslyFormattedCitation":"(Ahmad, Amran, and Haris 2022)"},"properties":{"noteIndex":0},"schema":"https://github.com/citation-style-language/schema/raw/master/csl-citation.json"}</w:instrText>
      </w:r>
      <w:r>
        <w:rPr>
          <w:rFonts w:ascii="Garamond" w:hAnsi="Garamond" w:cs="Times New Roman"/>
          <w:sz w:val="24"/>
          <w:szCs w:val="24"/>
        </w:rPr>
        <w:fldChar w:fldCharType="separate"/>
      </w:r>
      <w:r w:rsidRPr="006247F1">
        <w:rPr>
          <w:rFonts w:ascii="Garamond" w:hAnsi="Garamond" w:cs="Times New Roman"/>
          <w:noProof/>
          <w:sz w:val="24"/>
          <w:szCs w:val="24"/>
        </w:rPr>
        <w:t>(Ahmad, Amran, and Haris 2022)</w:t>
      </w:r>
      <w:r>
        <w:rPr>
          <w:rFonts w:ascii="Garamond" w:hAnsi="Garamond" w:cs="Times New Roman"/>
          <w:sz w:val="24"/>
          <w:szCs w:val="24"/>
        </w:rPr>
        <w:fldChar w:fldCharType="end"/>
      </w:r>
      <w:r>
        <w:rPr>
          <w:rFonts w:ascii="Garamond" w:hAnsi="Garamond" w:cs="Times New Roman"/>
          <w:sz w:val="24"/>
          <w:szCs w:val="24"/>
        </w:rPr>
        <w:t xml:space="preserve">. </w:t>
      </w:r>
      <w:r w:rsidRPr="006247F1">
        <w:rPr>
          <w:rFonts w:ascii="Garamond" w:hAnsi="Garamond" w:cs="Times New Roman"/>
          <w:sz w:val="24"/>
          <w:szCs w:val="24"/>
        </w:rPr>
        <w:t>Banks hold control over most of the money supply and banks have the ability to influence the type and characteristics of production in any country. Because it functions as an intermediary between capital owners (fund suppliers) and capital users (fund users), banking institutions are the p</w:t>
      </w:r>
      <w:r>
        <w:rPr>
          <w:rFonts w:ascii="Garamond" w:hAnsi="Garamond" w:cs="Times New Roman"/>
          <w:sz w:val="24"/>
          <w:szCs w:val="24"/>
        </w:rPr>
        <w:t xml:space="preserve">illars of the country's economy </w:t>
      </w:r>
      <w:r>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{"citationItems":[{"id":"ITEM-1","itemData":{"DOI":"10.13106/jafeb.2021.vol8.no3.0451","author":[{"dropping-particle":"","family":"Suyanto","given":"Suyanto","non-dropping-particle":"","parse-names":false,"suffix":""}],"container-title":"Journal of Asian Finance, Economics and Business","id":"ITEM-1","issue":"3","issued":{"date-parts":[["2021"]]},"page":"451-458","title":"The Effect of Bad Credit and Liquidity on Bank Performance in Indonesia","type":"article-journal","volume":"8"},"uris":["http://www.mendeley.com/documents/?uuid=129f7ccc-96b6-4710-997c-e15bdebb59ea","http://www.mendeley.com/documents/?uuid=a13164dd-716a-4167-9cef-3800975a3985"]}],"mendeley":{"formattedCitation":"(Suyanto 2021)","plainTextFormattedCitation":"(Suyanto 2021)","previouslyFormattedCitation":"(Suyanto 2021)"},"properties":{"noteIndex":0},"schema":"https://github.com/citation-style-language/schema/raw/master/csl-citation.json"}</w:instrText>
      </w:r>
      <w:r>
        <w:rPr>
          <w:rFonts w:ascii="Garamond" w:hAnsi="Garamond" w:cs="Times New Roman"/>
          <w:sz w:val="24"/>
          <w:szCs w:val="24"/>
        </w:rPr>
        <w:fldChar w:fldCharType="separate"/>
      </w:r>
      <w:r w:rsidRPr="006247F1">
        <w:rPr>
          <w:rFonts w:ascii="Garamond" w:hAnsi="Garamond" w:cs="Times New Roman"/>
          <w:noProof/>
          <w:sz w:val="24"/>
          <w:szCs w:val="24"/>
        </w:rPr>
        <w:t>(Suyanto 2021)</w:t>
      </w:r>
      <w:r>
        <w:rPr>
          <w:rFonts w:ascii="Garamond" w:hAnsi="Garamond" w:cs="Times New Roman"/>
          <w:sz w:val="24"/>
          <w:szCs w:val="24"/>
        </w:rPr>
        <w:fldChar w:fldCharType="end"/>
      </w:r>
      <w:r>
        <w:rPr>
          <w:rFonts w:ascii="Garamond" w:hAnsi="Garamond" w:cs="Times New Roman"/>
          <w:sz w:val="24"/>
          <w:szCs w:val="24"/>
        </w:rPr>
        <w:t>.</w:t>
      </w:r>
      <w:r w:rsidR="00AF2C7C">
        <w:rPr>
          <w:rFonts w:ascii="Garamond" w:hAnsi="Garamond" w:cs="Times New Roman"/>
          <w:sz w:val="24"/>
          <w:szCs w:val="24"/>
        </w:rPr>
        <w:t xml:space="preserve"> </w:t>
      </w:r>
      <w:r w:rsidR="00AF2C7C" w:rsidRPr="00AF2C7C">
        <w:rPr>
          <w:rFonts w:ascii="Garamond" w:hAnsi="Garamond" w:cs="Times New Roman"/>
          <w:sz w:val="24"/>
          <w:szCs w:val="24"/>
        </w:rPr>
        <w:t>The financial sector, especially Islamic banking, has a significant role in a country's economic growth. The banking intermediation function, which includes the collection, fundraising, and distribution of funds to the real sector, makes it a catalyst for the growth of the real sector. Several studies have shown that Islamic banking is very helpful for economic growth and poverty alleviation</w:t>
      </w:r>
      <w:r w:rsidR="00AF2C7C">
        <w:rPr>
          <w:rFonts w:ascii="Garamond" w:hAnsi="Garamond" w:cs="Times New Roman"/>
          <w:sz w:val="24"/>
          <w:szCs w:val="24"/>
        </w:rPr>
        <w:t xml:space="preserve"> </w:t>
      </w:r>
      <w:r w:rsidR="00AF2C7C">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{"citationItems":[{"id":"ITEM-1","itemData":{"author":[{"dropping-particle":"","family":"Hartanto","given":"Agus","non-dropping-particle":"","parse-names":false,"suffix":""},{"dropping-particle":"","family":"Samputra","given":"Palupi L","non-dropping-particle":"","parse-names":false,"suffix":""}],"id":"ITEM-1","issue":"8","issued":{"date-parts":[["2023"]]},"page":"2629-2642","title":"Determinants of Non-Performing Financing for Islamic Commercial Banks in Indonesia with a Dynamic Panel Data Approach","type":"article-journal","volume":"2642"},"uris":["http://www.mendeley.com/documents/?uuid=97bad224-b554-4a8e-aff1-0a3aae24b95c","http://www.mendeley.com/documents/?uuid=290ed820-fdb5-47e7-af57-7a8064dcdf56"]}],"mendeley":{"formattedCitation":"(Hartanto and Samputra 2023)","plainTextFormattedCitation":"(Hartanto and Samputra 2023)","previouslyFormattedCitation":"(Hartanto and Samputra 2023)"},"properties":{"noteIndex":0},"schema":"https://github.com/citation-style-language/schema/raw/master/csl-citation.json"}</w:instrText>
      </w:r>
      <w:r w:rsidR="00AF2C7C">
        <w:rPr>
          <w:rFonts w:ascii="Garamond" w:hAnsi="Garamond" w:cs="Times New Roman"/>
          <w:sz w:val="24"/>
          <w:szCs w:val="24"/>
        </w:rPr>
        <w:fldChar w:fldCharType="separate"/>
      </w:r>
      <w:r w:rsidR="00AF2C7C" w:rsidRPr="00AF2C7C">
        <w:rPr>
          <w:rFonts w:ascii="Garamond" w:hAnsi="Garamond" w:cs="Times New Roman"/>
          <w:noProof/>
          <w:sz w:val="24"/>
          <w:szCs w:val="24"/>
        </w:rPr>
        <w:t>(Hartanto and Samputra 2023)</w:t>
      </w:r>
      <w:r w:rsidR="00AF2C7C">
        <w:rPr>
          <w:rFonts w:ascii="Garamond" w:hAnsi="Garamond" w:cs="Times New Roman"/>
          <w:sz w:val="24"/>
          <w:szCs w:val="24"/>
        </w:rPr>
        <w:fldChar w:fldCharType="end"/>
      </w:r>
      <w:r w:rsidR="00AF2C7C">
        <w:rPr>
          <w:rFonts w:ascii="Garamond" w:hAnsi="Garamond" w:cs="Times New Roman"/>
          <w:sz w:val="24"/>
          <w:szCs w:val="24"/>
        </w:rPr>
        <w:t>.</w:t>
      </w:r>
    </w:p>
    <w:p w14:paraId="1E14F1A7" w14:textId="08643A44" w:rsidR="00B51AA4" w:rsidRDefault="00207218" w:rsidP="00647163">
      <w:pPr>
        <w:tabs>
          <w:tab w:val="left" w:pos="7920"/>
        </w:tabs>
        <w:spacing w:line="276" w:lineRule="auto"/>
        <w:ind w:firstLine="567"/>
        <w:contextualSpacing/>
        <w:jc w:val="both"/>
        <w:rPr>
          <w:rFonts w:ascii="Garamond" w:hAnsi="Garamond" w:cs="Times New Roman"/>
          <w:sz w:val="24"/>
          <w:szCs w:val="24"/>
        </w:rPr>
      </w:pPr>
      <w:r w:rsidRPr="00B51AA4">
        <w:rPr>
          <w:rFonts w:ascii="Garamond" w:hAnsi="Garamond" w:cs="Times New Roman"/>
          <w:sz w:val="24"/>
          <w:szCs w:val="24"/>
        </w:rPr>
        <w:t xml:space="preserve">Banks that operate on Islamic principles are known as Islamic banks. After Law Number 7 of 1992 on Banking, which explicitly allowed banks to operate on the principle of yield, Islamic banking became increasingly popular. Furthermore, Law Number 10 of 1998 concerning Amendments to Law Number 7 of 1992 concerning Banking amends article 1 paragraphs (3) and (4), which distinguish banks into conventional banks and Islamic banks, which include commercial banks and people's credit banks. With the provisions contained in Law Number 10 of 1998, the era of the dual banking system began. Furthermore, Law Number 21 of 2008 concerning Islamic </w:t>
      </w:r>
      <w:r w:rsidRPr="00B51AA4">
        <w:rPr>
          <w:rFonts w:ascii="Garamond" w:hAnsi="Garamond" w:cs="Times New Roman"/>
          <w:sz w:val="24"/>
          <w:szCs w:val="24"/>
        </w:rPr>
        <w:lastRenderedPageBreak/>
        <w:t>Banking, which regulates Islamic banks. This is a solution to the needs of the community who need a reliable banking system in accordance with Sharia principles</w:t>
      </w:r>
      <w:r w:rsidR="003D46D6">
        <w:rPr>
          <w:rFonts w:ascii="Garamond" w:hAnsi="Garamond" w:cs="Times New Roman"/>
          <w:sz w:val="24"/>
          <w:szCs w:val="24"/>
        </w:rPr>
        <w:t xml:space="preserve"> </w:t>
      </w:r>
      <w:r w:rsidR="003D46D6">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{"citationItems":[{"id":"ITEM-1","itemData":{"DOI":"10.26905/afr.v4i1.5476","ISSN":"2598-7763","abstract":"The purpose of this study is to examine the effect of mudharabah, musharakah and murabahah financing on profitability. The population of this research is Islamic Banks in Indonesia that registered for five consecutive years (2015–2019). The sample of this research are 7 sharia banks, and 5 years periods resulted in 35 observation data. The multiple regression analysis model in used to test the hypothesis. The results of this study indicate that mudharabah, musharakah and murabahah financing have different influence on profitability. Musharakah and murabahah financing risk have negative influances on profitability. In contrast, mudharabah financing risk have positive influence on profitability of Sharia Banks in Indonesia.","author":[{"dropping-particle":"","family":"Istiowati","given":"Sri Indah","non-dropping-particle":"","parse-names":false,"suffix":""},{"dropping-particle":"","family":"Muslichah","given":"Muslichah","non-dropping-particle":"","parse-names":false,"suffix":""}],"container-title":"AFRE (Accounting and Financial Review)","id":"ITEM-1","issue":"1","issued":{"date-parts":[["2021"]]},"page":"30","title":"Pembiayaan Mudharabah, Musyarakah, Murabahah, dan Tingkat Profitabilitas Bank Syariah di Indonesia","type":"article-journal","volume":"4"},"uris":["http://www.mendeley.com/documents/?uuid=1644f7cb-0eae-4294-b9fe-122a0996f00f","http://www.mendeley.com/documents/?uuid=d8f134c0-b7e7-42bc-a790-de9bb713d58f"]}],"mendeley":{"formattedCitation":"(Istiowati and Muslichah 2021)","plainTextFormattedCitation":"(Istiowati and Muslichah 2021)","previouslyFormattedCitation":"(Istiowati and Muslichah 2021)"},"properties":{"noteIndex":0},"schema":"https://github.com/citation-style-language/schema/raw/master/csl-citation.json"}</w:instrText>
      </w:r>
      <w:r w:rsidR="003D46D6">
        <w:rPr>
          <w:rFonts w:ascii="Garamond" w:hAnsi="Garamond" w:cs="Times New Roman"/>
          <w:sz w:val="24"/>
          <w:szCs w:val="24"/>
        </w:rPr>
        <w:fldChar w:fldCharType="separate"/>
      </w:r>
      <w:r w:rsidR="0090100A" w:rsidRPr="0090100A">
        <w:rPr>
          <w:rFonts w:ascii="Garamond" w:hAnsi="Garamond" w:cs="Times New Roman"/>
          <w:noProof/>
          <w:sz w:val="24"/>
          <w:szCs w:val="24"/>
        </w:rPr>
        <w:t>(Istiowati and Muslichah 2021)</w:t>
      </w:r>
      <w:r w:rsidR="003D46D6">
        <w:rPr>
          <w:rFonts w:ascii="Garamond" w:hAnsi="Garamond" w:cs="Times New Roman"/>
          <w:sz w:val="24"/>
          <w:szCs w:val="24"/>
        </w:rPr>
        <w:fldChar w:fldCharType="end"/>
      </w:r>
      <w:r>
        <w:rPr>
          <w:rFonts w:ascii="Garamond" w:hAnsi="Garamond" w:cs="Times New Roman"/>
          <w:sz w:val="24"/>
          <w:szCs w:val="24"/>
        </w:rPr>
        <w:t xml:space="preserve">. </w:t>
      </w:r>
      <w:r w:rsidRPr="00B51AA4">
        <w:rPr>
          <w:rFonts w:ascii="Garamond" w:hAnsi="Garamond" w:cs="Times New Roman"/>
          <w:sz w:val="24"/>
          <w:szCs w:val="24"/>
        </w:rPr>
        <w:t>One of the activities of Islamic banks is financing, where banks provide funds to other parties to meet customer needs. Financing through murabahah, musharakah, and mudharabah contracts offered by Islamic banks is very suitable compared to the existing credit allocation in conventional banks because the business or management systems and rules implemented by the bank are expected to produce customer satisfaction and transparency</w:t>
      </w:r>
      <w:r>
        <w:rPr>
          <w:rFonts w:ascii="Garamond" w:hAnsi="Garamond" w:cs="Times New Roman"/>
          <w:sz w:val="24"/>
          <w:szCs w:val="24"/>
        </w:rPr>
        <w:t>.</w:t>
      </w:r>
    </w:p>
    <w:p w14:paraId="24874CB1" w14:textId="0F616ACA" w:rsidR="00A10C72" w:rsidRPr="005E40C2" w:rsidRDefault="00207218" w:rsidP="00647163">
      <w:pPr>
        <w:tabs>
          <w:tab w:val="left" w:pos="7920"/>
        </w:tabs>
        <w:spacing w:line="276" w:lineRule="auto"/>
        <w:ind w:firstLine="567"/>
        <w:contextualSpacing/>
        <w:jc w:val="both"/>
        <w:rPr>
          <w:rFonts w:ascii="Garamond" w:hAnsi="Garamond" w:cs="Times New Roman"/>
          <w:sz w:val="24"/>
          <w:szCs w:val="24"/>
        </w:rPr>
      </w:pPr>
      <w:r w:rsidRPr="00B51AA4">
        <w:rPr>
          <w:rFonts w:ascii="Garamond" w:hAnsi="Garamond" w:cs="Times New Roman"/>
          <w:sz w:val="24"/>
          <w:szCs w:val="24"/>
        </w:rPr>
        <w:t xml:space="preserve">Islamic bank financing based on its use is divided into two categories: productive financing (for customers who need capital to develop their business) and consumptive financing (for customers who want to meet consumption needs that are not related to business and are usually individual). Customers will get facilities that are useful for business production needs, such as increasing business capital, trade, and investment, and customers engaged in business will be more interested in productive financing. Financing activities are an important part of Islamic banking and if managed properly can help the survival of the company. Even Islamic banks can collapse due to poor financing management </w:t>
      </w:r>
      <w:r w:rsidRPr="005E40C2">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{"citationItems":[{"id":"ITEM-1","itemData":{"author":[{"dropping-particle":"","family":"Sudarto","given":"Aye","non-dropping-particle":"","parse-names":false,"suffix":""}],"container-title":"Islamic Banking","id":"ITEM-1","issue":"Mei 2017","issued":{"date-parts":[["2020"]]},"page":"99-116","title":"PENYELESAIAN PEMBIAYAAN BERMASALAH PADA LEMBAGA KEUANGAN SYARIAH STUDI BMT AL HASANAH LAMPUNG TIMUR","type":"article-journal","volume":"5"},"uris":["http://www.mendeley.com/documents/?uuid=7abe9f04-4b64-4d44-98f0-e04f38d4e876","http://www.mendeley.com/documents/?uuid=77de54eb-d70d-45a6-98df-3defe94c3e55"]}],"mendeley":{"formattedCitation":"(Sudarto 2020)","plainTextFormattedCitation":"(Sudarto 2020)","previouslyFormattedCitation":"(Sudarto 2020)"},"properties":{"noteIndex":0},"schema":"https://github.com/citation-style-language/schema/raw/master/csl-citation.json"}</w:instrText>
      </w:r>
      <w:r w:rsidRPr="005E40C2">
        <w:rPr>
          <w:rFonts w:ascii="Garamond" w:hAnsi="Garamond" w:cs="Times New Roman"/>
          <w:sz w:val="24"/>
          <w:szCs w:val="24"/>
        </w:rPr>
        <w:fldChar w:fldCharType="separate"/>
      </w:r>
      <w:r w:rsidR="0090100A" w:rsidRPr="0090100A">
        <w:rPr>
          <w:rFonts w:ascii="Garamond" w:hAnsi="Garamond" w:cs="Times New Roman"/>
          <w:noProof/>
          <w:sz w:val="24"/>
          <w:szCs w:val="24"/>
        </w:rPr>
        <w:t>(Sudarto 2020)</w:t>
      </w:r>
      <w:r w:rsidRPr="005E40C2">
        <w:rPr>
          <w:rFonts w:ascii="Garamond" w:hAnsi="Garamond" w:cs="Times New Roman"/>
          <w:sz w:val="24"/>
          <w:szCs w:val="24"/>
        </w:rPr>
        <w:fldChar w:fldCharType="end"/>
      </w:r>
      <w:r w:rsidRPr="005E40C2">
        <w:rPr>
          <w:rFonts w:ascii="Garamond" w:hAnsi="Garamond" w:cs="Times New Roman"/>
          <w:sz w:val="24"/>
          <w:szCs w:val="24"/>
        </w:rPr>
        <w:t>.</w:t>
      </w:r>
    </w:p>
    <w:p w14:paraId="7595DE8A" w14:textId="00C98BC3" w:rsidR="00A10C72" w:rsidRPr="005E40C2" w:rsidRDefault="00AF2C7C" w:rsidP="00647163">
      <w:pPr>
        <w:spacing w:after="0" w:line="276" w:lineRule="auto"/>
        <w:ind w:firstLine="567"/>
        <w:contextualSpacing/>
        <w:jc w:val="both"/>
        <w:rPr>
          <w:rFonts w:ascii="Garamond" w:hAnsi="Garamond" w:cs="Times New Roman"/>
          <w:sz w:val="24"/>
          <w:szCs w:val="24"/>
          <w:shd w:val="clear" w:color="auto" w:fill="FFFFFF"/>
        </w:rPr>
      </w:pPr>
      <w:r w:rsidRPr="00AF2C7C">
        <w:rPr>
          <w:rStyle w:val="longtext"/>
          <w:rFonts w:ascii="Garamond" w:hAnsi="Garamond" w:cs="Times New Roman"/>
          <w:sz w:val="24"/>
          <w:szCs w:val="24"/>
          <w:shd w:val="clear" w:color="auto" w:fill="FFFFFF"/>
        </w:rPr>
        <w:t>Financing risk is the possibility that the borrower will lose money if they do not repay the loan or meet the obli</w:t>
      </w:r>
      <w:r>
        <w:rPr>
          <w:rStyle w:val="longtext"/>
          <w:rFonts w:ascii="Garamond" w:hAnsi="Garamond" w:cs="Times New Roman"/>
          <w:sz w:val="24"/>
          <w:szCs w:val="24"/>
          <w:shd w:val="clear" w:color="auto" w:fill="FFFFFF"/>
        </w:rPr>
        <w:t xml:space="preserve">gations set out in the contract </w:t>
      </w:r>
      <w:r>
        <w:rPr>
          <w:rStyle w:val="longtext"/>
          <w:rFonts w:ascii="Garamond" w:hAnsi="Garamond" w:cs="Times New Roman"/>
          <w:sz w:val="24"/>
          <w:szCs w:val="24"/>
          <w:shd w:val="clear" w:color="auto" w:fill="FFFFFF"/>
        </w:rPr>
        <w:fldChar w:fldCharType="begin" w:fldLock="1"/>
      </w:r>
      <w:r w:rsidR="00F877A8">
        <w:rPr>
          <w:rStyle w:val="longtext"/>
          <w:rFonts w:ascii="Garamond" w:hAnsi="Garamond" w:cs="Times New Roman"/>
          <w:sz w:val="24"/>
          <w:szCs w:val="24"/>
          <w:shd w:val="clear" w:color="auto" w:fill="FFFFFF"/>
        </w:rPr>
        <w:instrText>ADDIN CSL_CITATION {"citationItems":[{"id":"ITEM-1","itemData":{"DOI":"10.13106/jafeb.2021.vol8.no3.0451","author":[{"dropping-particle":"","family":"Suyanto","given":"Suyanto","non-dropping-particle":"","parse-names":false,"suffix":""}],"container-title":"Journal of Asian Finance, Economics and Business","id":"ITEM-1","issue":"3","issued":{"date-parts":[["2021"]]},"page":"451-458","title":"The Effect of Bad Credit and Liquidity on Bank Performance in Indonesia","type":"article-journal","volume":"8"},"uris":["http://www.mendeley.com/documents/?uuid=a13164dd-716a-4167-9cef-3800975a3985","http://www.mendeley.com/documents/?uuid=129f7ccc-96b6-4710-997c-e15bdebb59ea"]}],"mendeley":{"formattedCitation":"(Suyanto 2021)","plainTextFormattedCitation":"(Suyanto 2021)","previouslyFormattedCitation":"(Suyanto 2021)"},"properties":{"noteIndex":0},"schema":"https://github.com/citation-style-language/schema/raw/master/csl-citation.json"}</w:instrText>
      </w:r>
      <w:r>
        <w:rPr>
          <w:rStyle w:val="longtext"/>
          <w:rFonts w:ascii="Garamond" w:hAnsi="Garamond" w:cs="Times New Roman"/>
          <w:sz w:val="24"/>
          <w:szCs w:val="24"/>
          <w:shd w:val="clear" w:color="auto" w:fill="FFFFFF"/>
        </w:rPr>
        <w:fldChar w:fldCharType="separate"/>
      </w:r>
      <w:r w:rsidRPr="00AF2C7C">
        <w:rPr>
          <w:rStyle w:val="longtext"/>
          <w:rFonts w:ascii="Garamond" w:hAnsi="Garamond" w:cs="Times New Roman"/>
          <w:noProof/>
          <w:sz w:val="24"/>
          <w:szCs w:val="24"/>
          <w:shd w:val="clear" w:color="auto" w:fill="FFFFFF"/>
        </w:rPr>
        <w:t>(Suyanto 2021)</w:t>
      </w:r>
      <w:r>
        <w:rPr>
          <w:rStyle w:val="longtext"/>
          <w:rFonts w:ascii="Garamond" w:hAnsi="Garamond" w:cs="Times New Roman"/>
          <w:sz w:val="24"/>
          <w:szCs w:val="24"/>
          <w:shd w:val="clear" w:color="auto" w:fill="FFFFFF"/>
        </w:rPr>
        <w:fldChar w:fldCharType="end"/>
      </w:r>
      <w:r>
        <w:rPr>
          <w:rStyle w:val="longtext"/>
          <w:rFonts w:ascii="Garamond" w:hAnsi="Garamond" w:cs="Times New Roman"/>
          <w:sz w:val="24"/>
          <w:szCs w:val="24"/>
          <w:shd w:val="clear" w:color="auto" w:fill="FFFFFF"/>
        </w:rPr>
        <w:t xml:space="preserve">. </w:t>
      </w:r>
      <w:r w:rsidR="00207218" w:rsidRPr="00B51AA4">
        <w:rPr>
          <w:rStyle w:val="longtext"/>
          <w:rFonts w:ascii="Garamond" w:hAnsi="Garamond" w:cs="Times New Roman"/>
          <w:sz w:val="24"/>
          <w:szCs w:val="24"/>
          <w:shd w:val="clear" w:color="auto" w:fill="FFFFFF"/>
        </w:rPr>
        <w:t>According to data from the Financial Services Authority (OJK), the amount of financing for Sharia Commercial Banks (BUS) and Sharia Business Units (UUS) that fell into non-performing financing increased on an annual basis (YtD) to 11,751 trillion in January 2024 from 11,596 trillion in December 2023. On an annual (YoY) basis, the total financing that fell into Non-Performing Financing increased from IDR 11,625 trillion in January 2023</w:t>
      </w:r>
      <w:r w:rsidR="00207218">
        <w:rPr>
          <w:rStyle w:val="longtext"/>
          <w:rFonts w:ascii="Garamond" w:hAnsi="Garamond" w:cs="Times New Roman"/>
          <w:sz w:val="24"/>
          <w:szCs w:val="24"/>
          <w:shd w:val="clear" w:color="auto" w:fill="FFFFFF"/>
        </w:rPr>
        <w:t xml:space="preserve"> </w:t>
      </w:r>
      <w:r w:rsidR="00207218" w:rsidRPr="005E40C2">
        <w:rPr>
          <w:rStyle w:val="longtext"/>
          <w:rFonts w:ascii="Garamond" w:hAnsi="Garamond" w:cs="Times New Roman"/>
          <w:sz w:val="24"/>
          <w:szCs w:val="24"/>
          <w:shd w:val="clear" w:color="auto" w:fill="FFFFFF"/>
        </w:rPr>
        <w:fldChar w:fldCharType="begin" w:fldLock="1"/>
      </w:r>
      <w:r w:rsidR="00F877A8">
        <w:rPr>
          <w:rStyle w:val="longtext"/>
          <w:rFonts w:ascii="Garamond" w:hAnsi="Garamond" w:cs="Times New Roman"/>
          <w:sz w:val="24"/>
          <w:szCs w:val="24"/>
          <w:shd w:val="clear" w:color="auto" w:fill="FFFFFF"/>
        </w:rPr>
        <w:instrText>ADDIN CSL_CITATION {"citationItems":[{"id":"ITEM-1","itemData":{"author":[{"dropping-particle":"","family":"Dewi","given":"Kartika Herlina","non-dropping-particle":"","parse-names":false,"suffix":""}],"container-title":"Kontan.co.id","id":"ITEM-1","issued":{"date-parts":[["2024"]]},"title":"Pembiayaan Bermasalah Bank Syariah Naik Jadi Rp 11.751 Triliun Per Januari 2024","type":"webpage"},"uris":["http://www.mendeley.com/documents/?uuid=64171564-8bc1-4373-bece-0cf54c90b90c","http://www.mendeley.com/documents/?uuid=ac85aa13-60ce-4c47-b73e-2e604d245912"]}],"mendeley":{"formattedCitation":"(Dewi 2024)","plainTextFormattedCitation":"(Dewi 2024)","previouslyFormattedCitation":"(Dewi 2024)"},"properties":{"noteIndex":0},"schema":"https://github.com/citation-style-language/schema/raw/master/csl-citation.json"}</w:instrText>
      </w:r>
      <w:r w:rsidR="00207218" w:rsidRPr="005E40C2">
        <w:rPr>
          <w:rStyle w:val="longtext"/>
          <w:rFonts w:ascii="Garamond" w:hAnsi="Garamond" w:cs="Times New Roman"/>
          <w:sz w:val="24"/>
          <w:szCs w:val="24"/>
          <w:shd w:val="clear" w:color="auto" w:fill="FFFFFF"/>
        </w:rPr>
        <w:fldChar w:fldCharType="separate"/>
      </w:r>
      <w:r w:rsidR="0090100A" w:rsidRPr="0090100A">
        <w:rPr>
          <w:rStyle w:val="longtext"/>
          <w:rFonts w:ascii="Garamond" w:hAnsi="Garamond" w:cs="Times New Roman"/>
          <w:noProof/>
          <w:sz w:val="24"/>
          <w:szCs w:val="24"/>
          <w:shd w:val="clear" w:color="auto" w:fill="FFFFFF"/>
        </w:rPr>
        <w:t>(Dewi 2024)</w:t>
      </w:r>
      <w:r w:rsidR="00207218" w:rsidRPr="005E40C2">
        <w:rPr>
          <w:rStyle w:val="longtext"/>
          <w:rFonts w:ascii="Garamond" w:hAnsi="Garamond" w:cs="Times New Roman"/>
          <w:sz w:val="24"/>
          <w:szCs w:val="24"/>
          <w:shd w:val="clear" w:color="auto" w:fill="FFFFFF"/>
        </w:rPr>
        <w:fldChar w:fldCharType="end"/>
      </w:r>
      <w:r w:rsidR="00207218" w:rsidRPr="005E40C2">
        <w:rPr>
          <w:rStyle w:val="longtext"/>
          <w:rFonts w:ascii="Garamond" w:hAnsi="Garamond" w:cs="Times New Roman"/>
          <w:sz w:val="24"/>
          <w:szCs w:val="24"/>
          <w:shd w:val="clear" w:color="auto" w:fill="FFFFFF"/>
        </w:rPr>
        <w:t xml:space="preserve">.  </w:t>
      </w:r>
      <w:r w:rsidR="00207218" w:rsidRPr="00B51AA4">
        <w:rPr>
          <w:rFonts w:ascii="Garamond" w:hAnsi="Garamond" w:cs="Times New Roman"/>
          <w:sz w:val="24"/>
          <w:szCs w:val="24"/>
        </w:rPr>
        <w:t xml:space="preserve">Efforts and actions to withdraw the financing of non-performing debtors, especially those that are due or have met the repayment requirements, are known as the settlement of non-performing financing. According to Article 55 of the Sharia Banking Law, the settlement of Islamic banking disputes is carried out by the Religious Court. However, the Bank and the customer have an agreement to resolve the dispute by sharia principles. Dispute resolution is carried out in accordance with the content of the contract through deliberation, banking mediation, the National Sharia Arbitration Board (Basyarnas) or other arbitration institutions, or the judiciary within the General Court for Settlement of </w:t>
      </w:r>
      <w:r w:rsidR="00384142">
        <w:rPr>
          <w:rFonts w:ascii="Garamond" w:hAnsi="Garamond" w:cs="Times New Roman"/>
          <w:sz w:val="24"/>
          <w:szCs w:val="24"/>
        </w:rPr>
        <w:t>Non- Non-performing Financing</w:t>
      </w:r>
      <w:r w:rsidR="00207218" w:rsidRPr="005E40C2">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{"citationItems":[{"id":"ITEM-1","itemData":{"author":[{"dropping-particle":"","family":"Ulpah","given":"Mariya","non-dropping-particle":"","parse-names":false,"suffix":""}],"id":"ITEM-1","issue":"10","issued":{"date-parts":[["2020"]]},"page":"1-14","title":"Strategi penyelesaian pembiayaan bermasalah pada bank syariah","type":"article-journal","volume":"3"},"uris":["http://www.mendeley.com/documents/?uuid=a99a0b0a-008d-4317-88d3-40ace71c78f8","http://www.mendeley.com/documents/?uuid=403d7982-95cf-4270-88c9-f725e9e198d1"]}],"mendeley":{"formattedCitation":"(Ulpah 2020)","manualFormatting":" (Ulpah 2020)","plainTextFormattedCitation":"(Ulpah 2020)","previouslyFormattedCitation":"(Ulpah 2020)"},"properties":{"noteIndex":0},"schema":"https://github.com/citation-style-language/schema/raw/master/csl-citation.json"}</w:instrText>
      </w:r>
      <w:r w:rsidR="00207218" w:rsidRPr="005E40C2">
        <w:rPr>
          <w:rFonts w:ascii="Garamond" w:hAnsi="Garamond" w:cs="Times New Roman"/>
          <w:sz w:val="24"/>
          <w:szCs w:val="24"/>
        </w:rPr>
        <w:fldChar w:fldCharType="separate"/>
      </w:r>
      <w:r w:rsidR="0090100A" w:rsidRPr="0090100A">
        <w:rPr>
          <w:rFonts w:ascii="Garamond" w:hAnsi="Garamond" w:cs="Times New Roman"/>
          <w:noProof/>
          <w:sz w:val="24"/>
          <w:szCs w:val="24"/>
        </w:rPr>
        <w:t xml:space="preserve"> (Ulpah 2020)</w:t>
      </w:r>
      <w:r w:rsidR="00207218" w:rsidRPr="005E40C2">
        <w:rPr>
          <w:rFonts w:ascii="Garamond" w:hAnsi="Garamond" w:cs="Times New Roman"/>
          <w:sz w:val="24"/>
          <w:szCs w:val="24"/>
        </w:rPr>
        <w:fldChar w:fldCharType="end"/>
      </w:r>
      <w:r w:rsidR="00207218" w:rsidRPr="005E40C2">
        <w:rPr>
          <w:rFonts w:ascii="Garamond" w:hAnsi="Garamond" w:cs="Times New Roman"/>
          <w:sz w:val="24"/>
          <w:szCs w:val="24"/>
        </w:rPr>
        <w:t>.</w:t>
      </w:r>
    </w:p>
    <w:p w14:paraId="118755D6" w14:textId="070EEDCD" w:rsidR="005971E8" w:rsidRPr="00240C55" w:rsidRDefault="00207218" w:rsidP="00647163">
      <w:pPr>
        <w:tabs>
          <w:tab w:val="left" w:pos="7920"/>
        </w:tabs>
        <w:spacing w:before="240" w:line="276" w:lineRule="auto"/>
        <w:ind w:firstLine="567"/>
        <w:contextualSpacing/>
        <w:jc w:val="both"/>
        <w:rPr>
          <w:rFonts w:ascii="Garamond" w:hAnsi="Garamond"/>
          <w:color w:val="000000"/>
          <w:sz w:val="24"/>
          <w:szCs w:val="24"/>
        </w:rPr>
      </w:pPr>
      <w:r>
        <w:rPr>
          <w:rFonts w:ascii="Garamond" w:hAnsi="Garamond" w:cs="Times New Roman"/>
          <w:sz w:val="24"/>
          <w:szCs w:val="24"/>
        </w:rPr>
        <w:t>According to</w:t>
      </w:r>
      <w:r w:rsidR="00A10C72" w:rsidRPr="005E40C2">
        <w:rPr>
          <w:rFonts w:ascii="Garamond" w:hAnsi="Garamond" w:cs="Times New Roman"/>
          <w:sz w:val="24"/>
          <w:szCs w:val="24"/>
        </w:rPr>
        <w:t xml:space="preserve"> </w:t>
      </w:r>
      <w:r w:rsidR="00A10C72" w:rsidRPr="005E40C2">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{"citationItems":[{"id":"ITEM-1","itemData":{"DOI":"10.31942/jqi.v16i1.8449","ISSN":"1979-0678","abstract":"Pengadilan sebagai tempat untuk menyelesaikan sengketa di bidang hukum perdata diharapkan dapat memberikan keadilan bagi setiap orang. Selain harus bersifat independen dan berintegritas, pengadilan juga dituntut untuk dapat memberikan pelayanan terhadap kepentingan masyarakat dengan biaya murah, prosedur sederhana dan jangka waktu penyelesaian perkara yang singkat. Pada tahun 2015 Mahkamah Agung telah menerbitkan Peraturan Mahkamah Agung Nomor 2 Tahun 2015 Tentang Tata Cara Penyelesaian Gugatan Sederhana yang kemudian, dilakukan perubahan pada tahun 2019 untuk mengoptimalkan penyelesaian perkara melalui gugatan sederhana. Metode yang digunakan adalah metode yuridis normatif, yaitu penelitian yang mendasarkan pada data kepustakaan dengan pendekatan perundangundangan. Mekanisme penyelesaian gugatan sederhana melalui Perma No. 4 Tahun 2019 dimulai dari pendaftaran gugatan sederhana, pemeriksaan kelengkapan berkas gugatan sederhana, penetapan panjar biaya perkara, penetapan hakim dan penunjukan panitera/panitera pengganti, pemeriksaan pendahuluan, penetapan hari sidang dan pemanggilan para pihak, pemeriksaan sidang pertama dan perdamaian, pembuktian dan putusan. Problematika yang muncul dalam penerapan gugatan sederhana pada penyelesaian perkara perdata antara lain tidak hadirnya para pihak pada sidang pertama dan belum bisa diterapkannya persidangan secara elektronik (e-litigation) karena para pihak belum memahami tata cara persidangan secara elektronik.","author":[{"dropping-particle":"","family":"Umami","given":"Yurida Zakky","non-dropping-particle":"","parse-names":false,"suffix":""},{"dropping-particle":"","family":"Prakoso","given":"Adityo Putro","non-dropping-particle":"","parse-names":false,"suffix":""}],"container-title":"Qistie","id":"ITEM-1","issue":"1","issued":{"date-parts":[["2023"]]},"page":"177","title":"Problematika Dalam Penerapan Gugatan Sederhana Pada Penyelesaian Perkara Perdata Di Indonesia","type":"article-journal","volume":"16"},"uris":["http://www.mendeley.com/documents/?uuid=ad3fbdbd-5637-4900-b46c-d7c126a920c1","http://www.mendeley.com/documents/?uuid=6bacec54-c7d1-49bd-ba37-8e6b27ba34a8"]}],"mendeley":{"formattedCitation":"(Umami and Prakoso 2023)","plainTextFormattedCitation":"(Umami and Prakoso 2023)","previouslyFormattedCitation":"(Umami and Prakoso 2023)"},"properties":{"noteIndex":0},"schema":"https://github.com/citation-style-language/schema/raw/master/csl-citation.json"}</w:instrText>
      </w:r>
      <w:r w:rsidR="00A10C72" w:rsidRPr="005E40C2">
        <w:rPr>
          <w:rFonts w:ascii="Garamond" w:hAnsi="Garamond" w:cs="Times New Roman"/>
          <w:sz w:val="24"/>
          <w:szCs w:val="24"/>
        </w:rPr>
        <w:fldChar w:fldCharType="separate"/>
      </w:r>
      <w:r w:rsidR="0090100A" w:rsidRPr="0090100A">
        <w:rPr>
          <w:rFonts w:ascii="Garamond" w:hAnsi="Garamond" w:cs="Times New Roman"/>
          <w:noProof/>
          <w:sz w:val="24"/>
          <w:szCs w:val="24"/>
        </w:rPr>
        <w:t>(Umami and Prakoso 2023)</w:t>
      </w:r>
      <w:r w:rsidR="00A10C72" w:rsidRPr="005E40C2">
        <w:rPr>
          <w:rFonts w:ascii="Garamond" w:hAnsi="Garamond" w:cs="Times New Roman"/>
          <w:sz w:val="24"/>
          <w:szCs w:val="24"/>
        </w:rPr>
        <w:fldChar w:fldCharType="end"/>
      </w:r>
      <w:r w:rsidR="00CD669F">
        <w:rPr>
          <w:rFonts w:ascii="Garamond" w:hAnsi="Garamond" w:cs="Times New Roman"/>
          <w:sz w:val="24"/>
          <w:szCs w:val="24"/>
        </w:rPr>
        <w:t xml:space="preserve"> </w:t>
      </w:r>
      <w:r w:rsidRPr="005971E8">
        <w:rPr>
          <w:rFonts w:ascii="Garamond" w:hAnsi="Garamond" w:cs="Times New Roman"/>
          <w:sz w:val="24"/>
          <w:szCs w:val="24"/>
        </w:rPr>
        <w:t xml:space="preserve">dispute resolution through lawsuits will interfere with or hinder community activities so that they are considered ineffective and inefficient, especially those related to business issues. This is because the dispute resolution process through general litigation is very complicated and time-consuming as a result of its complicated examination system. In addition, longer legal remedies, such as appeals, cassations, and reconsiderations, are also time-consuming and costly. Courts that are not responsive to defend the interests of justice seekers and often act unfairly are also a major factor. Court decisions often raise new problems rather than solve problems because of the long time it takes to enforce the award and there is no legal rule on how long the award should be enforced, which means the award only wins on paper. As a result, dispute resolution can be less useful so it is not in line with the goals and intentions of </w:t>
      </w:r>
      <w:r w:rsidRPr="005971E8">
        <w:rPr>
          <w:rFonts w:ascii="Garamond" w:hAnsi="Garamond" w:cs="Times New Roman"/>
          <w:sz w:val="24"/>
          <w:szCs w:val="24"/>
        </w:rPr>
        <w:lastRenderedPageBreak/>
        <w:t xml:space="preserve">a </w:t>
      </w:r>
      <w:r w:rsidR="00384142">
        <w:rPr>
          <w:rFonts w:ascii="Garamond" w:hAnsi="Garamond" w:cs="Times New Roman"/>
          <w:sz w:val="24"/>
          <w:szCs w:val="24"/>
        </w:rPr>
        <w:t>small claim court</w:t>
      </w:r>
      <w:r w:rsidRPr="005971E8">
        <w:rPr>
          <w:rFonts w:ascii="Garamond" w:hAnsi="Garamond" w:cs="Times New Roman"/>
          <w:sz w:val="24"/>
          <w:szCs w:val="24"/>
        </w:rPr>
        <w:t xml:space="preserve"> that is fast, easy, and low-cost</w:t>
      </w:r>
      <w:r>
        <w:rPr>
          <w:rFonts w:ascii="Garamond" w:hAnsi="Garamond" w:cs="Times New Roman"/>
          <w:sz w:val="24"/>
          <w:szCs w:val="24"/>
        </w:rPr>
        <w:t xml:space="preserve"> </w:t>
      </w:r>
      <w:r w:rsidR="00A10C72" w:rsidRPr="005E40C2">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{"citationItems":[{"id":"ITEM-1","itemData":{"DOI":"10.32699/syariati.v6i02.1541","ISSN":"2459-9778","abstract":"Salah satu bagian terpenting dari Reformasi Hukum di Indonesia adalah Reformasi Peradilan, diantaranya pembenahan sistem peradilan yang menjunjung tinggi hukum dan keadilan serta mewujudkan peradilan yang sederhana, cepat, dan biaya ringan. Penyelesaian sengketa perdata yang ditempuh melalui jalur peradilan pada umumnya berlangsung lama, berbelit-belit, dan biaya mahal. Kebutuhan untuk menyelesaikan perkara secara sederhana melalui mekanisme khusus semakin mendesak. Gugatan sederhana merupakan mekanisme alternatif di Pengadilan Negeri yang disediakan dalam penyelesaian perkara secara efektif dan mudah untuk diakses. Untuk mengatasi permasalahan tersebut, Mahkamah Agung menerbitkan Peraturan Mahkamah Agung (Perma) Nomor 2 Tahun 2015 dan Peraturan Mahkamah Agung (Perma) Nomor 4 Tahun 2019 tentang Tata Cara Penyelesaian Gugatan Sederhana (Small Claim Court). Mahkamah Agung  menerbitkan Perma tentang gugatan sederhana dalam rangka upaya dalam mewujudkan negara yang berdemokrasi secara modern dan memberikan peningkatan pelayanan yang terbaik bagi  setiap warna negara dalam mencari keadilan. Akan tetapi secara substansial terdapat beberapa perbedaan diantara Peraturan Mahkamah Agung (Perma) Nomor 2 Tahun 2015 tentang Tata Cara Penyelesaian Gugatan Sederhana dengan Peraturan Mahkamah Agung (Perma) Nomor 4 Tahun 2019 tentang Perubahan Atas Peraturan Mahkamah Agung (Perma) Nomor 2 Tahun 2015 tentang Tata Cara Penyelesaian Gugatan Sederhana. Bertolak dari hal tersebut maka penulis akan mengkaji mengenai substansi dari Perma Nomor 2 Tahun 2015 dan juga Perma Nomor 4 Tahun 2019 serta relevansinya dengan asas peradilan cepat, sederhana dan biaya ringan.","author":[{"dropping-particle":"","family":"Rachmawati","given":"Laila Dyah","non-dropping-particle":"","parse-names":false,"suffix":""}],"container-title":"Syariati : Jurnal Studi Al-Qur'an dan Hukum","id":"ITEM-1","issue":"02","issued":{"date-parts":[["2020"]]},"page":"221-232","title":"Materi Perubahan Peraturan Mahkamah Agung tentang Gugatan Sederhana","type":"article-journal","volume":"6"},"uris":["http://www.mendeley.com/documents/?uuid=52e55826-15e3-4154-afdd-d7067b514580","http://www.mendeley.com/documents/?uuid=19e8a900-d8f1-461f-b0a1-fe783b64ce43"]}],"mendeley":{"formattedCitation":"(Rachmawati 2020)","plainTextFormattedCitation":"(Rachmawati 2020)","previouslyFormattedCitation":"(Rachmawati 2020)"},"properties":{"noteIndex":0},"schema":"https://github.com/citation-style-language/schema/raw/master/csl-citation.json"}</w:instrText>
      </w:r>
      <w:r w:rsidR="00A10C72" w:rsidRPr="005E40C2">
        <w:rPr>
          <w:rFonts w:ascii="Garamond" w:hAnsi="Garamond" w:cs="Times New Roman"/>
          <w:sz w:val="24"/>
          <w:szCs w:val="24"/>
        </w:rPr>
        <w:fldChar w:fldCharType="separate"/>
      </w:r>
      <w:r w:rsidR="0090100A" w:rsidRPr="0090100A">
        <w:rPr>
          <w:rFonts w:ascii="Garamond" w:hAnsi="Garamond" w:cs="Times New Roman"/>
          <w:noProof/>
          <w:sz w:val="24"/>
          <w:szCs w:val="24"/>
        </w:rPr>
        <w:t>(Rachmawati 2020)</w:t>
      </w:r>
      <w:r w:rsidR="00A10C72" w:rsidRPr="005E40C2">
        <w:rPr>
          <w:rFonts w:ascii="Garamond" w:hAnsi="Garamond" w:cs="Times New Roman"/>
          <w:sz w:val="24"/>
          <w:szCs w:val="24"/>
        </w:rPr>
        <w:fldChar w:fldCharType="end"/>
      </w:r>
      <w:r w:rsidR="00A10C72" w:rsidRPr="005E40C2">
        <w:rPr>
          <w:rFonts w:ascii="Garamond" w:hAnsi="Garamond" w:cs="Times New Roman"/>
          <w:sz w:val="24"/>
          <w:szCs w:val="24"/>
        </w:rPr>
        <w:t xml:space="preserve">. </w:t>
      </w:r>
      <w:r w:rsidRPr="00240C55">
        <w:rPr>
          <w:rFonts w:ascii="Garamond" w:hAnsi="Garamond"/>
          <w:color w:val="000000"/>
          <w:sz w:val="24"/>
          <w:szCs w:val="24"/>
        </w:rPr>
        <w:t xml:space="preserve">The existence of a </w:t>
      </w:r>
      <w:r w:rsidR="00384142" w:rsidRPr="00240C55">
        <w:rPr>
          <w:rFonts w:ascii="Garamond" w:hAnsi="Garamond"/>
          <w:color w:val="000000"/>
          <w:sz w:val="24"/>
          <w:szCs w:val="24"/>
        </w:rPr>
        <w:t>small claim court</w:t>
      </w:r>
      <w:r w:rsidRPr="00240C55">
        <w:rPr>
          <w:rFonts w:ascii="Garamond" w:hAnsi="Garamond"/>
          <w:color w:val="000000"/>
          <w:sz w:val="24"/>
          <w:szCs w:val="24"/>
        </w:rPr>
        <w:t xml:space="preserve"> with fast, cheap, and efficient settlement through this court can be used in resolving </w:t>
      </w:r>
      <w:r w:rsidR="00384142" w:rsidRPr="00240C55">
        <w:rPr>
          <w:rFonts w:ascii="Garamond" w:hAnsi="Garamond"/>
          <w:color w:val="000000"/>
          <w:sz w:val="24"/>
          <w:szCs w:val="24"/>
        </w:rPr>
        <w:t>non-performing financing</w:t>
      </w:r>
      <w:r w:rsidRPr="00240C55">
        <w:rPr>
          <w:rFonts w:ascii="Garamond" w:hAnsi="Garamond"/>
          <w:color w:val="000000"/>
          <w:sz w:val="24"/>
          <w:szCs w:val="24"/>
        </w:rPr>
        <w:t xml:space="preserve"> in Islamic banking, one of which is Bank Syariah Indonesia.</w:t>
      </w:r>
    </w:p>
    <w:p w14:paraId="21282252" w14:textId="1893ED97" w:rsidR="00647163" w:rsidRDefault="00207218" w:rsidP="00647163">
      <w:pPr>
        <w:tabs>
          <w:tab w:val="left" w:pos="7920"/>
        </w:tabs>
        <w:spacing w:after="0" w:line="276" w:lineRule="auto"/>
        <w:ind w:firstLine="567"/>
        <w:contextualSpacing/>
        <w:jc w:val="both"/>
        <w:rPr>
          <w:rFonts w:ascii="Garamond" w:hAnsi="Garamond" w:cstheme="majorBidi"/>
          <w:sz w:val="24"/>
          <w:szCs w:val="24"/>
        </w:rPr>
      </w:pPr>
      <w:r w:rsidRPr="005971E8">
        <w:rPr>
          <w:rFonts w:ascii="Garamond" w:hAnsi="Garamond" w:cstheme="majorBidi"/>
          <w:sz w:val="24"/>
          <w:szCs w:val="24"/>
        </w:rPr>
        <w:t xml:space="preserve">The research conducted by Nirma Wulandari, </w:t>
      </w:r>
      <w:r w:rsidR="00977DD3" w:rsidRPr="00977DD3">
        <w:rPr>
          <w:rFonts w:ascii="Garamond" w:hAnsi="Garamond" w:cstheme="majorBidi"/>
          <w:sz w:val="24"/>
          <w:szCs w:val="24"/>
        </w:rPr>
        <w:t>focuses on settling non-performing financing with the restructuring method through the principle of ta'awun while this research focuses on settling non-performing f</w:t>
      </w:r>
      <w:r w:rsidR="00977DD3">
        <w:rPr>
          <w:rFonts w:ascii="Garamond" w:hAnsi="Garamond" w:cstheme="majorBidi"/>
          <w:sz w:val="24"/>
          <w:szCs w:val="24"/>
        </w:rPr>
        <w:t xml:space="preserve">inancing through small claim court </w:t>
      </w:r>
      <w:r w:rsidRPr="005E40C2">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Kata","author":[{"dropping-particle":"","family":"Nirma Wulandari","given":"","non-dropping-particle":"","parse-names":false,"suffix":""}],"id":"ITEM-1","issued":{"date-parts":[["2023"]]},"number-of-pages":"25","title":"Strategi Penyelesaian Pembiayaan Bermasalah Dengan Metode Restrukturisasi Melalui Prinsip Ta’Awun Di Bank Syariah Indonesia Kcp Magetan 2","type":"thesis"},"uris":["http://www.mendeley.com/documents/?uuid=179b8de0-2897-4ff6-b79c-50f81799f2b9","http://www.mendeley.com/documents/?uuid=3a3d1b5e-020b-43d9-be47-61a5c999f0cf"]}],"mendeley":{"formattedCitation":"(Nirma Wulandari 2023)","plainTextFormattedCitation":"(Nirma Wulandari 2023)","previouslyFormattedCitation":"(Nirma Wulandari 2023)"},"properties":{"noteIndex":0},"schema":"https://github.com/citation-style-language/schema/raw/master/csl-citation.json"}</w:instrText>
      </w:r>
      <w:r w:rsidRPr="005E40C2">
        <w:rPr>
          <w:rFonts w:ascii="Garamond" w:hAnsi="Garamond" w:cstheme="majorBidi"/>
          <w:sz w:val="24"/>
          <w:szCs w:val="24"/>
        </w:rPr>
        <w:fldChar w:fldCharType="separate"/>
      </w:r>
      <w:r w:rsidR="0090100A" w:rsidRPr="0090100A">
        <w:rPr>
          <w:rFonts w:ascii="Garamond" w:hAnsi="Garamond" w:cstheme="majorBidi"/>
          <w:noProof/>
          <w:sz w:val="24"/>
          <w:szCs w:val="24"/>
        </w:rPr>
        <w:t>(Nirma Wulandari 2023)</w:t>
      </w:r>
      <w:r w:rsidRPr="005E40C2">
        <w:rPr>
          <w:rFonts w:ascii="Garamond" w:hAnsi="Garamond" w:cstheme="majorBidi"/>
          <w:sz w:val="24"/>
          <w:szCs w:val="24"/>
        </w:rPr>
        <w:fldChar w:fldCharType="end"/>
      </w:r>
      <w:r w:rsidR="00CD669F">
        <w:rPr>
          <w:rFonts w:ascii="Garamond" w:hAnsi="Garamond" w:cstheme="majorBidi"/>
          <w:sz w:val="24"/>
          <w:szCs w:val="24"/>
        </w:rPr>
        <w:t xml:space="preserve">. </w:t>
      </w:r>
      <w:r w:rsidR="00B80F53" w:rsidRPr="00B80F53">
        <w:rPr>
          <w:rFonts w:ascii="Garamond" w:hAnsi="Garamond" w:cstheme="majorBidi"/>
          <w:sz w:val="24"/>
          <w:szCs w:val="24"/>
        </w:rPr>
        <w:t xml:space="preserve">The research was conducted by Khofifah Indar Mawar Sari, Jeby Fahira and Zahratunisa, </w:t>
      </w:r>
      <w:r w:rsidR="00977DD3" w:rsidRPr="00977DD3">
        <w:rPr>
          <w:rFonts w:ascii="Garamond" w:hAnsi="Garamond" w:cstheme="majorBidi"/>
          <w:sz w:val="24"/>
          <w:szCs w:val="24"/>
        </w:rPr>
        <w:t>This study discusses the h</w:t>
      </w:r>
      <w:r w:rsidR="00977DD3">
        <w:rPr>
          <w:rFonts w:ascii="Garamond" w:hAnsi="Garamond" w:cstheme="majorBidi"/>
          <w:sz w:val="24"/>
          <w:szCs w:val="24"/>
        </w:rPr>
        <w:t xml:space="preserve">andling of </w:t>
      </w:r>
      <w:r w:rsidR="00C544F2">
        <w:rPr>
          <w:rFonts w:ascii="Garamond" w:hAnsi="Garamond" w:cstheme="majorBidi"/>
          <w:sz w:val="24"/>
          <w:szCs w:val="24"/>
        </w:rPr>
        <w:t>non-performing financing</w:t>
      </w:r>
      <w:r w:rsidR="00977DD3" w:rsidRPr="00977DD3">
        <w:rPr>
          <w:rFonts w:ascii="Garamond" w:hAnsi="Garamond" w:cstheme="majorBidi"/>
          <w:sz w:val="24"/>
          <w:szCs w:val="24"/>
        </w:rPr>
        <w:t xml:space="preserve"> in general or broadly while this study uses se</w:t>
      </w:r>
      <w:r w:rsidR="00C544F2">
        <w:rPr>
          <w:rFonts w:ascii="Garamond" w:hAnsi="Garamond" w:cstheme="majorBidi"/>
          <w:sz w:val="24"/>
          <w:szCs w:val="24"/>
        </w:rPr>
        <w:t>ttlement through small claim court</w:t>
      </w:r>
      <w:r w:rsidR="00977DD3" w:rsidRPr="00977DD3">
        <w:rPr>
          <w:rFonts w:ascii="Garamond" w:hAnsi="Garamond" w:cstheme="majorBidi"/>
          <w:sz w:val="24"/>
          <w:szCs w:val="24"/>
        </w:rPr>
        <w:t xml:space="preserve"> </w:t>
      </w:r>
      <w:r w:rsidRPr="005E40C2">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{"citationItems":[{"id":"ITEM-1","itemData":{"DOI":"10.35878/jiose.v2i1.552","abstract":"Sharia banks in Indonesia are currently experiencing significant developments, these developments must be followed by regulations and good banking management, including handling problem financing. It is undeniable that the financing business in Islamic banking has the potential to experience financing problems. The greater the problematic financing faced by banks, will reduce the soundness level of Islamic banks, decrease the quality of financing and the soundness of banks affect financial liquidity and solvency, which can ultimately affect the trust of depositors and even prospective customers. Not only that, the greater the amount of non-performing financing, the greater the amount of costs for reserve funds that must be provided so that it has a negative impact on profitability, because the losses borne by the bank will reduce profits which ultimately have a negative impact on Islamic bank capital. Related to this, this research was conducted using a qualitative method to analyze the factors that cause problem financing, as well as strategies for preventing and resolving problem financing in Islamic banks and finally being able to provide information to all parties, especially Islamic bank practitioners, about ways or strategies for handling and also solving problem financing.","author":[{"dropping-particle":"","family":"Zahratunnisa","given":"Zahratunnisa","non-dropping-particle":"","parse-names":false,"suffix":""},{"dropping-particle":"","family":"Sari","given":"Khofifah Indar Mawar","non-dropping-particle":"","parse-names":false,"suffix":""},{"dropping-particle":"","family":"Fahira","given":"Jeby","non-dropping-particle":"","parse-names":false,"suffix":""}],"container-title":"JIOSE: Journal of Indonesian Sharia Economics","id":"ITEM-1","issue":"1","issued":{"date-parts":[["2023"]]},"page":"93-106","title":"Strategi Penanganan Pembiayaan Bermasalah di Bank Syariah","type":"article-journal","volume":"2"},"uris":["http://www.mendeley.com/documents/?uuid=c158f48d-a870-4220-984a-c6b140fd4791","http://www.mendeley.com/documents/?uuid=aa6d4724-52e7-4194-8e1b-bb830b000d04"]}],"mendeley":{"formattedCitation":"(Zahratunnisa, Sari, and Fahira 2023)","plainTextFormattedCitation":"(Zahratunnisa, Sari, and Fahira 2023)","previouslyFormattedCitation":"(Zahratunnisa, Sari, and Fahira 2023)"},"properties":{"noteIndex":0},"schema":"https://github.com/citation-style-language/schema/raw/master/csl-citation.json"}</w:instrText>
      </w:r>
      <w:r w:rsidRPr="005E40C2">
        <w:rPr>
          <w:rFonts w:ascii="Garamond" w:hAnsi="Garamond" w:cstheme="majorBidi"/>
          <w:sz w:val="24"/>
          <w:szCs w:val="24"/>
        </w:rPr>
        <w:fldChar w:fldCharType="separate"/>
      </w:r>
      <w:r w:rsidR="0090100A" w:rsidRPr="0090100A">
        <w:rPr>
          <w:rFonts w:ascii="Garamond" w:hAnsi="Garamond" w:cstheme="majorBidi"/>
          <w:noProof/>
          <w:sz w:val="24"/>
          <w:szCs w:val="24"/>
        </w:rPr>
        <w:t>(Zahratunnisa, Sari, and Fahira 2023)</w:t>
      </w:r>
      <w:r w:rsidRPr="005E40C2">
        <w:rPr>
          <w:rFonts w:ascii="Garamond" w:hAnsi="Garamond" w:cstheme="majorBidi"/>
          <w:sz w:val="24"/>
          <w:szCs w:val="24"/>
        </w:rPr>
        <w:fldChar w:fldCharType="end"/>
      </w:r>
      <w:r w:rsidRPr="005E40C2">
        <w:rPr>
          <w:rFonts w:ascii="Garamond" w:hAnsi="Garamond" w:cstheme="majorBidi"/>
          <w:sz w:val="24"/>
          <w:szCs w:val="24"/>
        </w:rPr>
        <w:t>.</w:t>
      </w:r>
      <w:r w:rsidR="00CD669F">
        <w:rPr>
          <w:rFonts w:ascii="Garamond" w:hAnsi="Garamond" w:cstheme="majorBidi"/>
          <w:sz w:val="24"/>
          <w:szCs w:val="24"/>
        </w:rPr>
        <w:t xml:space="preserve"> </w:t>
      </w:r>
      <w:r w:rsidRPr="005971E8">
        <w:rPr>
          <w:rFonts w:ascii="Garamond" w:hAnsi="Garamond" w:cstheme="majorBidi"/>
          <w:sz w:val="24"/>
          <w:szCs w:val="24"/>
        </w:rPr>
        <w:t>Research conducted by St. Saleha Madjid, Ulil Amri and Fachruddin Mansyur</w:t>
      </w:r>
      <w:r w:rsidR="0073756E">
        <w:rPr>
          <w:rFonts w:ascii="Garamond" w:hAnsi="Garamond" w:cstheme="majorBidi"/>
          <w:sz w:val="24"/>
          <w:szCs w:val="24"/>
        </w:rPr>
        <w:t>,</w:t>
      </w:r>
      <w:r w:rsidR="00C544F2" w:rsidRPr="00C544F2">
        <w:t xml:space="preserve"> </w:t>
      </w:r>
      <w:r w:rsidR="0073756E">
        <w:rPr>
          <w:rFonts w:ascii="Garamond" w:hAnsi="Garamond" w:cstheme="majorBidi"/>
          <w:sz w:val="24"/>
          <w:szCs w:val="24"/>
        </w:rPr>
        <w:t>i</w:t>
      </w:r>
      <w:r w:rsidR="00C544F2" w:rsidRPr="00C544F2">
        <w:rPr>
          <w:rFonts w:ascii="Garamond" w:hAnsi="Garamond" w:cstheme="majorBidi"/>
          <w:sz w:val="24"/>
          <w:szCs w:val="24"/>
        </w:rPr>
        <w:t>n t</w:t>
      </w:r>
      <w:r w:rsidR="0073756E">
        <w:rPr>
          <w:rFonts w:ascii="Garamond" w:hAnsi="Garamond" w:cstheme="majorBidi"/>
          <w:sz w:val="24"/>
          <w:szCs w:val="24"/>
        </w:rPr>
        <w:t xml:space="preserve">his study small claim court </w:t>
      </w:r>
      <w:r w:rsidR="00C544F2" w:rsidRPr="00C544F2">
        <w:rPr>
          <w:rFonts w:ascii="Garamond" w:hAnsi="Garamond" w:cstheme="majorBidi"/>
          <w:sz w:val="24"/>
          <w:szCs w:val="24"/>
        </w:rPr>
        <w:t>are applied to sharia economic disputes in general, while this rese</w:t>
      </w:r>
      <w:r w:rsidR="0073756E">
        <w:rPr>
          <w:rFonts w:ascii="Garamond" w:hAnsi="Garamond" w:cstheme="majorBidi"/>
          <w:sz w:val="24"/>
          <w:szCs w:val="24"/>
        </w:rPr>
        <w:t>arch focuses on small claim court on the settlement of non-performing</w:t>
      </w:r>
      <w:r w:rsidR="00C544F2" w:rsidRPr="00C544F2">
        <w:rPr>
          <w:rFonts w:ascii="Garamond" w:hAnsi="Garamond" w:cstheme="majorBidi"/>
          <w:sz w:val="24"/>
          <w:szCs w:val="24"/>
        </w:rPr>
        <w:t xml:space="preserve"> financing.</w:t>
      </w:r>
      <w:r w:rsidRPr="005E40C2">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{"citationItems":[{"id":"ITEM-1","itemData":{"DOI":"10.26618/j-hes.v7i02.12157","ISSN":"2549-4872","abstract":"Penelitian ini berjudul Implementasi Gugatan Sederhana (Small Claim Court) Dalam Penyelesaian Sengketa Ekonomi Syariah Dipengadilan Agama Kota Makassar. Permasalahan dalam penelitian ini adalah bagaimana implementasi gugatan sederhana dan bagaimana efektifitas gugatan sederhana dibandingkan dengan gugatan biasa dalam penyelesaian sengketa di Pengadilan Agama Makassar. Penelitian ini bertujuan untuk mengetahui implementasi gugatan sederhana dan efektifitas gugatan sederhana dibandingkan dengan gugatan biasa dalam penyelesaian sengketa di Pengadilan Agama Makassar. Penelitian ini Menggunakan metode kualitatif wawancara dan observasi yang dilakukan di Pengadilan Agama Makassar yang berlangsung 2 bulan mulai dari Desember 2021 sampai Februari 2022. Hasil penelitian menunjukkkan praktik gugatan sederhana di Pengadilan Agama Makassar pada tahun 2015-2021 hanya ditemukan 1 (satu) perkara ekonomi syariah yang terdaftar sebagai gugatan sederhana yaitu perkara 001/Pdt.G.S/ PA.Mks. Pengadilan Agama Makassar berhasil menyelesaikan sengketa ekonomi dengan lebih mudah dan tdk memakan biaya yang mahal. Salah satu bentuk Implementasi dan efektifitas gugatan sederhana (Small Claim Cour) dengan waktu penyelesaian perkara 25 hari sejak hari sidang pertama ditentukan, Nilai gugatan paling banyak Rp. 500.000.000- (lima ratus juta rupiah). Dibandingkan dengan perkara 995/Pdt.G Mks dengan proses yang lebih lama. Kesimpulannya penyelesaian sengketa ekonomi syari’ah dengan menggunakan gugatan sederhana (Small Claim Cour) lebih efektif dan efiseen dari penyelasaian sengketa ekonomi pada umumnya","author":[{"dropping-particle":"","family":"Madjid","given":"St. Saleha","non-dropping-particle":"","parse-names":false,"suffix":""},{"dropping-particle":"","family":"Amri","given":"Ulil","non-dropping-particle":"","parse-names":false,"suffix":""},{"dropping-particle":"","family":"Mansyur","given":"Fakhruddin","non-dropping-particle":"","parse-names":false,"suffix":""}],"container-title":"Jurnal Hukum Ekonomi Syariah","id":"ITEM-1","issue":"02","issued":{"date-parts":[["2023"]]},"page":"108-110","title":"Implementasi Gugatan Sederhana (Small Claim Court) Dalam Penyelesaian Sengketa Ekonomi Syari’ah Di Pengadilan Agama Kota Makassar","type":"article-journal","volume":"7"},"uris":["http://www.mendeley.com/documents/?uuid=267bd3a0-cac3-410c-81a3-999b0ec46d8e","http://www.mendeley.com/documents/?uuid=97e19ae5-68b0-4aab-8adb-74a214d9c2fc"]}],"mendeley":{"formattedCitation":"(Madjid, Amri, and Mansyur 2023)","plainTextFormattedCitation":"(Madjid, Amri, and Mansyur 2023)","previouslyFormattedCitation":"(Madjid, Amri, and Mansyur 2023)"},"properties":{"noteIndex":0},"schema":"https://github.com/citation-style-language/schema/raw/master/csl-citation.json"}</w:instrText>
      </w:r>
      <w:r w:rsidRPr="005E40C2">
        <w:rPr>
          <w:rFonts w:ascii="Garamond" w:hAnsi="Garamond" w:cstheme="majorBidi"/>
          <w:sz w:val="24"/>
          <w:szCs w:val="24"/>
        </w:rPr>
        <w:fldChar w:fldCharType="separate"/>
      </w:r>
      <w:r w:rsidR="0090100A" w:rsidRPr="0090100A">
        <w:rPr>
          <w:rFonts w:ascii="Garamond" w:hAnsi="Garamond" w:cstheme="majorBidi"/>
          <w:noProof/>
          <w:sz w:val="24"/>
          <w:szCs w:val="24"/>
        </w:rPr>
        <w:t>(Madjid, Amri, and Mansyur 2023)</w:t>
      </w:r>
      <w:r w:rsidRPr="005E40C2">
        <w:rPr>
          <w:rFonts w:ascii="Garamond" w:hAnsi="Garamond" w:cstheme="majorBidi"/>
          <w:sz w:val="24"/>
          <w:szCs w:val="24"/>
        </w:rPr>
        <w:fldChar w:fldCharType="end"/>
      </w:r>
      <w:r w:rsidRPr="005E40C2">
        <w:rPr>
          <w:rFonts w:ascii="Garamond" w:hAnsi="Garamond" w:cstheme="majorBidi"/>
          <w:sz w:val="24"/>
          <w:szCs w:val="24"/>
        </w:rPr>
        <w:t>.</w:t>
      </w:r>
    </w:p>
    <w:p w14:paraId="6467918C" w14:textId="77777777" w:rsidR="00647163" w:rsidRDefault="00207218" w:rsidP="00647163">
      <w:pPr>
        <w:tabs>
          <w:tab w:val="left" w:pos="7920"/>
        </w:tabs>
        <w:spacing w:after="0" w:line="276" w:lineRule="auto"/>
        <w:ind w:firstLine="567"/>
        <w:contextualSpacing/>
        <w:jc w:val="both"/>
        <w:rPr>
          <w:rFonts w:ascii="Garamond" w:hAnsi="Garamond"/>
          <w:color w:val="000000"/>
          <w:sz w:val="24"/>
          <w:szCs w:val="24"/>
          <w:lang w:val="en"/>
        </w:rPr>
      </w:pPr>
      <w:r w:rsidRPr="005971E8">
        <w:rPr>
          <w:rFonts w:ascii="Garamond" w:hAnsi="Garamond"/>
          <w:color w:val="000000"/>
          <w:sz w:val="24"/>
          <w:szCs w:val="24"/>
          <w:lang w:val="en"/>
        </w:rPr>
        <w:t xml:space="preserve">The initial observation stage found that there was a case of </w:t>
      </w:r>
      <w:r w:rsidR="00384142">
        <w:rPr>
          <w:rFonts w:ascii="Garamond" w:hAnsi="Garamond"/>
          <w:color w:val="000000"/>
          <w:sz w:val="24"/>
          <w:szCs w:val="24"/>
          <w:lang w:val="en"/>
        </w:rPr>
        <w:t>non-performing financing</w:t>
      </w:r>
      <w:r w:rsidRPr="005971E8">
        <w:rPr>
          <w:rFonts w:ascii="Garamond" w:hAnsi="Garamond"/>
          <w:color w:val="000000"/>
          <w:sz w:val="24"/>
          <w:szCs w:val="24"/>
          <w:lang w:val="en"/>
        </w:rPr>
        <w:t xml:space="preserve"> at BSI KC Palangka Raya Diponegoro. The handling of non-performing financing at BSI KC Palangka Raya Diponegoro through various means such as communication, negotiation, and rescheduling approaches as well as the last step through law enforcement channels. The case of settling </w:t>
      </w:r>
      <w:r w:rsidR="00384142">
        <w:rPr>
          <w:rFonts w:ascii="Garamond" w:hAnsi="Garamond"/>
          <w:color w:val="000000"/>
          <w:sz w:val="24"/>
          <w:szCs w:val="24"/>
          <w:lang w:val="en"/>
        </w:rPr>
        <w:t>non-performing financing</w:t>
      </w:r>
      <w:r w:rsidRPr="005971E8">
        <w:rPr>
          <w:rFonts w:ascii="Garamond" w:hAnsi="Garamond"/>
          <w:color w:val="000000"/>
          <w:sz w:val="24"/>
          <w:szCs w:val="24"/>
          <w:lang w:val="en"/>
        </w:rPr>
        <w:t xml:space="preserve"> with this </w:t>
      </w:r>
      <w:r w:rsidR="00384142">
        <w:rPr>
          <w:rFonts w:ascii="Garamond" w:hAnsi="Garamond"/>
          <w:color w:val="000000"/>
          <w:sz w:val="24"/>
          <w:szCs w:val="24"/>
          <w:lang w:val="en"/>
        </w:rPr>
        <w:t>small claim court</w:t>
      </w:r>
      <w:r w:rsidRPr="005971E8">
        <w:rPr>
          <w:rFonts w:ascii="Garamond" w:hAnsi="Garamond"/>
          <w:color w:val="000000"/>
          <w:sz w:val="24"/>
          <w:szCs w:val="24"/>
          <w:lang w:val="en"/>
        </w:rPr>
        <w:t xml:space="preserve"> made the researcher interested in researching the case with the title Efforts to Settle </w:t>
      </w:r>
      <w:r w:rsidR="00384142">
        <w:rPr>
          <w:rFonts w:ascii="Garamond" w:hAnsi="Garamond"/>
          <w:color w:val="000000"/>
          <w:sz w:val="24"/>
          <w:szCs w:val="24"/>
          <w:lang w:val="en"/>
        </w:rPr>
        <w:t>Non- performing financing</w:t>
      </w:r>
      <w:r w:rsidRPr="005971E8">
        <w:rPr>
          <w:rFonts w:ascii="Garamond" w:hAnsi="Garamond"/>
          <w:color w:val="000000"/>
          <w:sz w:val="24"/>
          <w:szCs w:val="24"/>
          <w:lang w:val="en"/>
        </w:rPr>
        <w:t xml:space="preserve"> at BSI KC Palangka Raya Diponegoro Through</w:t>
      </w:r>
      <w:r w:rsidRPr="005971E8">
        <w:rPr>
          <w:rFonts w:ascii="Garamond" w:hAnsi="Garamond"/>
          <w:i/>
          <w:iCs/>
          <w:color w:val="000000"/>
          <w:sz w:val="24"/>
          <w:szCs w:val="24"/>
          <w:lang w:val="en"/>
        </w:rPr>
        <w:t> </w:t>
      </w:r>
      <w:r w:rsidRPr="005971E8">
        <w:rPr>
          <w:rFonts w:ascii="Garamond" w:hAnsi="Garamond"/>
          <w:color w:val="000000"/>
          <w:sz w:val="24"/>
          <w:szCs w:val="24"/>
          <w:lang w:val="en"/>
        </w:rPr>
        <w:t>the Small Claim Court (</w:t>
      </w:r>
      <w:r w:rsidR="00384142">
        <w:rPr>
          <w:rFonts w:ascii="Garamond" w:hAnsi="Garamond"/>
          <w:color w:val="000000"/>
          <w:sz w:val="24"/>
          <w:szCs w:val="24"/>
          <w:lang w:val="en"/>
        </w:rPr>
        <w:t>Small claim court</w:t>
      </w:r>
      <w:r w:rsidRPr="005971E8">
        <w:rPr>
          <w:rFonts w:ascii="Garamond" w:hAnsi="Garamond"/>
          <w:color w:val="000000"/>
          <w:sz w:val="24"/>
          <w:szCs w:val="24"/>
          <w:lang w:val="en"/>
        </w:rPr>
        <w:t xml:space="preserve">) because at BSI KC Palangka Raya Diponegoro had made a </w:t>
      </w:r>
      <w:r w:rsidR="00384142">
        <w:rPr>
          <w:rFonts w:ascii="Garamond" w:hAnsi="Garamond"/>
          <w:color w:val="000000"/>
          <w:sz w:val="24"/>
          <w:szCs w:val="24"/>
          <w:lang w:val="en"/>
        </w:rPr>
        <w:t>small claim court</w:t>
      </w:r>
      <w:r w:rsidRPr="005971E8">
        <w:rPr>
          <w:rFonts w:ascii="Garamond" w:hAnsi="Garamond"/>
          <w:color w:val="000000"/>
          <w:sz w:val="24"/>
          <w:szCs w:val="24"/>
          <w:lang w:val="en"/>
        </w:rPr>
        <w:t xml:space="preserve"> at the time of handling </w:t>
      </w:r>
      <w:r w:rsidR="00384142">
        <w:rPr>
          <w:rFonts w:ascii="Garamond" w:hAnsi="Garamond"/>
          <w:color w:val="000000"/>
          <w:sz w:val="24"/>
          <w:szCs w:val="24"/>
          <w:lang w:val="en"/>
        </w:rPr>
        <w:t>non-performing financing</w:t>
      </w:r>
      <w:r w:rsidRPr="005971E8">
        <w:rPr>
          <w:rFonts w:ascii="Garamond" w:hAnsi="Garamond"/>
          <w:color w:val="000000"/>
          <w:sz w:val="24"/>
          <w:szCs w:val="24"/>
          <w:lang w:val="en"/>
        </w:rPr>
        <w:t xml:space="preserve"> so that this became a new strategy in resolving </w:t>
      </w:r>
      <w:r w:rsidR="00384142">
        <w:rPr>
          <w:rFonts w:ascii="Garamond" w:hAnsi="Garamond"/>
          <w:color w:val="000000"/>
          <w:sz w:val="24"/>
          <w:szCs w:val="24"/>
          <w:lang w:val="en"/>
        </w:rPr>
        <w:t>non-performing financing</w:t>
      </w:r>
      <w:r w:rsidRPr="005971E8">
        <w:rPr>
          <w:rFonts w:ascii="Garamond" w:hAnsi="Garamond"/>
          <w:color w:val="000000"/>
          <w:sz w:val="24"/>
          <w:szCs w:val="24"/>
          <w:lang w:val="en"/>
        </w:rPr>
        <w:t>.</w:t>
      </w:r>
    </w:p>
    <w:p w14:paraId="30957930" w14:textId="77777777" w:rsidR="00647163" w:rsidRDefault="00207218" w:rsidP="00647163">
      <w:pPr>
        <w:tabs>
          <w:tab w:val="left" w:pos="7920"/>
        </w:tabs>
        <w:spacing w:after="0" w:line="276" w:lineRule="auto"/>
        <w:ind w:firstLine="567"/>
        <w:contextualSpacing/>
        <w:jc w:val="both"/>
        <w:rPr>
          <w:rFonts w:ascii="Garamond" w:hAnsi="Garamond" w:cs="Times New Roman"/>
          <w:sz w:val="24"/>
          <w:szCs w:val="24"/>
        </w:rPr>
      </w:pPr>
      <w:r w:rsidRPr="00664FE0">
        <w:rPr>
          <w:rFonts w:ascii="Garamond" w:hAnsi="Garamond" w:cs="Times New Roman"/>
          <w:sz w:val="24"/>
          <w:szCs w:val="24"/>
        </w:rPr>
        <w:t xml:space="preserve">In the context of </w:t>
      </w:r>
      <w:r w:rsidR="00384142">
        <w:rPr>
          <w:rFonts w:ascii="Garamond" w:hAnsi="Garamond" w:cs="Times New Roman"/>
          <w:sz w:val="24"/>
          <w:szCs w:val="24"/>
        </w:rPr>
        <w:t>non-performing financing</w:t>
      </w:r>
      <w:r w:rsidRPr="00664FE0">
        <w:rPr>
          <w:rFonts w:ascii="Garamond" w:hAnsi="Garamond" w:cs="Times New Roman"/>
          <w:sz w:val="24"/>
          <w:szCs w:val="24"/>
        </w:rPr>
        <w:t xml:space="preserve"> at BSI KC Palangka Raya Diponegoro, there are several factors that can affect the emergence of these problems. First, economic factors, such as the instability of debtors' income, can hinder their ability to meet payment obligations. In addition, the Bank's internal management factors, including less stringent financing assessment procedures, also contributed to this problem. Furthermore, it is important to explore how the process of resolving distressed financing is carried out, especially through the Small Claim Court mechanism. This process is expected to provide a faster and more efficient solution for both parties so that it is expected to minimize losses experienced by banks and debtors. By understanding the causal factors and settlement mechanisms, it is hoped that strategic measures will be found to improve the quality of financing and reduce the risk of non-performing financing in the future.</w:t>
      </w:r>
    </w:p>
    <w:p w14:paraId="70EF03C4" w14:textId="77777777" w:rsidR="00647163" w:rsidRDefault="00E7543E" w:rsidP="00647163">
      <w:pPr>
        <w:tabs>
          <w:tab w:val="left" w:pos="7920"/>
        </w:tabs>
        <w:spacing w:after="0" w:line="276" w:lineRule="auto"/>
        <w:ind w:firstLine="567"/>
        <w:contextualSpacing/>
        <w:jc w:val="both"/>
        <w:rPr>
          <w:rFonts w:ascii="Garamond" w:hAnsi="Garamond" w:cs="Times New Roman"/>
          <w:sz w:val="24"/>
          <w:szCs w:val="24"/>
        </w:rPr>
      </w:pPr>
      <w:r w:rsidRPr="00E7543E">
        <w:rPr>
          <w:rFonts w:ascii="Garamond" w:hAnsi="Garamond" w:cs="Times New Roman"/>
          <w:sz w:val="24"/>
          <w:szCs w:val="24"/>
        </w:rPr>
        <w:t>Previous research has similarities by focusing on financing problems, one of the previous studies also uses a legal approach in resolving problematic financing, namely using small claim courts. The difference between this research and previous research lies in the method of resolving problematic financing, the use of methods that are generally not focused on certain methods, the reconstruction method with the principle of ta'awun and the application of small claim courts in resolving sharia economic disputes in general, not specifically on problematic financing. The previous research has not explored specifically the effectiveness of using the small claim court method to resolve problematic financing</w:t>
      </w:r>
      <w:r>
        <w:rPr>
          <w:rFonts w:ascii="Garamond" w:hAnsi="Garamond" w:cs="Times New Roman"/>
          <w:sz w:val="24"/>
          <w:szCs w:val="24"/>
        </w:rPr>
        <w:t xml:space="preserve">, </w:t>
      </w:r>
      <w:r w:rsidRPr="00E7543E">
        <w:rPr>
          <w:rFonts w:ascii="Garamond" w:hAnsi="Garamond" w:cs="Times New Roman"/>
          <w:sz w:val="24"/>
          <w:szCs w:val="24"/>
        </w:rPr>
        <w:t xml:space="preserve">Research on small claim courts already exists in the context of sharia economics, but there is no specific discussion of small claim courts as a method </w:t>
      </w:r>
      <w:r w:rsidRPr="00E7543E">
        <w:rPr>
          <w:rFonts w:ascii="Garamond" w:hAnsi="Garamond" w:cs="Times New Roman"/>
          <w:sz w:val="24"/>
          <w:szCs w:val="24"/>
        </w:rPr>
        <w:lastRenderedPageBreak/>
        <w:t>of resolving problematic financing. The approach used in existing research tends to be general, so more specific research is needed on the effectiveness of the implementation of small claim court in resolving problematic financing. Therefore, this study will focus on the effectiveness of the implementation of small claim court as a method of resolving problematic financing in Islamic banks that makes new and relevant contributions to the existing literature.</w:t>
      </w:r>
    </w:p>
    <w:p w14:paraId="50A6421E" w14:textId="600668CA" w:rsidR="00A10C72" w:rsidRPr="00647163" w:rsidRDefault="0072382C" w:rsidP="00647163">
      <w:pPr>
        <w:tabs>
          <w:tab w:val="left" w:pos="7920"/>
        </w:tabs>
        <w:spacing w:after="0" w:line="276" w:lineRule="auto"/>
        <w:ind w:firstLine="567"/>
        <w:contextualSpacing/>
        <w:jc w:val="both"/>
        <w:rPr>
          <w:rStyle w:val="longtext"/>
          <w:rFonts w:ascii="Garamond" w:hAnsi="Garamond" w:cstheme="majorBidi"/>
          <w:sz w:val="24"/>
          <w:szCs w:val="24"/>
        </w:rPr>
      </w:pPr>
      <w:r w:rsidRPr="0072382C">
        <w:rPr>
          <w:rFonts w:ascii="Garamond" w:hAnsi="Garamond" w:cs="Times New Roman"/>
          <w:sz w:val="24"/>
          <w:szCs w:val="24"/>
        </w:rPr>
        <w:t>The purpose of this study is to identify the effectiveness of the problem financing settlement process through the Small Claim Court mechanism. By exploring the steps taken in this process, it is hoped that insights can be gained on the effectiveness of existing settlement methods, as well as their impact on the relationship between banks and debtors. In addition, the purpose of this study is to identify the factors that cause problematic financing in BSI KC Palangka Raya Diponegoro. By understanding the various elements that affect the occurrence of non-performing financing, such as the economic condition of debtors and the Bank's internal policies, it is hoped that more effective solutions can be found to prevent similar problems in the future.</w:t>
      </w:r>
    </w:p>
    <w:p w14:paraId="15436AA4" w14:textId="77777777" w:rsidR="00CD669F" w:rsidRPr="00CD669F" w:rsidRDefault="00207218" w:rsidP="00671F87">
      <w:pPr>
        <w:spacing w:before="120" w:after="120" w:line="276" w:lineRule="auto"/>
        <w:jc w:val="both"/>
        <w:rPr>
          <w:rFonts w:ascii="Garamond" w:eastAsia="Calibri" w:hAnsi="Garamond" w:cs="Calibri"/>
          <w:b/>
          <w:kern w:val="0"/>
          <w:sz w:val="24"/>
          <w:lang w:val="id-ID"/>
          <w14:ligatures w14:val="none"/>
        </w:rPr>
      </w:pPr>
      <w:r w:rsidRPr="0057515B">
        <w:rPr>
          <w:rFonts w:ascii="Garamond" w:eastAsia="Calibri" w:hAnsi="Garamond" w:cs="Calibri"/>
          <w:b/>
          <w:kern w:val="0"/>
          <w:sz w:val="24"/>
          <w:lang w:val="id-ID"/>
          <w14:ligatures w14:val="none"/>
        </w:rPr>
        <w:t>LITERATURE REVIEW</w:t>
      </w:r>
      <w:r w:rsidR="00057000">
        <w:rPr>
          <w:rFonts w:ascii="Garamond" w:eastAsia="Calibri" w:hAnsi="Garamond" w:cs="Calibri"/>
          <w:b/>
          <w:kern w:val="0"/>
          <w:sz w:val="24"/>
          <w:lang w:val="id-ID"/>
          <w14:ligatures w14:val="none"/>
        </w:rPr>
        <w:t xml:space="preserve"> </w:t>
      </w:r>
    </w:p>
    <w:p w14:paraId="565EE513" w14:textId="77777777" w:rsidR="009460A1" w:rsidRDefault="009460A1" w:rsidP="00DC6FA1">
      <w:pPr>
        <w:tabs>
          <w:tab w:val="left" w:pos="7920"/>
        </w:tabs>
        <w:spacing w:after="0" w:line="276" w:lineRule="auto"/>
        <w:jc w:val="both"/>
        <w:rPr>
          <w:rFonts w:ascii="Garamond" w:hAnsi="Garamond"/>
          <w:b/>
          <w:sz w:val="24"/>
          <w:szCs w:val="24"/>
        </w:rPr>
      </w:pPr>
      <w:r>
        <w:rPr>
          <w:rFonts w:ascii="Garamond" w:hAnsi="Garamond"/>
          <w:b/>
          <w:sz w:val="24"/>
          <w:szCs w:val="24"/>
        </w:rPr>
        <w:t>Effectiveness</w:t>
      </w:r>
    </w:p>
    <w:p w14:paraId="04972E28" w14:textId="77777777" w:rsidR="00647163" w:rsidRDefault="009460A1" w:rsidP="00647163">
      <w:pPr>
        <w:tabs>
          <w:tab w:val="left" w:pos="7920"/>
        </w:tabs>
        <w:spacing w:after="0" w:line="276" w:lineRule="auto"/>
        <w:ind w:firstLine="567"/>
        <w:jc w:val="both"/>
        <w:rPr>
          <w:rFonts w:ascii="Garamond" w:hAnsi="Garamond"/>
          <w:sz w:val="24"/>
          <w:szCs w:val="24"/>
        </w:rPr>
      </w:pPr>
      <w:r w:rsidRPr="009460A1">
        <w:rPr>
          <w:rFonts w:ascii="Garamond" w:hAnsi="Garamond"/>
          <w:sz w:val="24"/>
          <w:szCs w:val="24"/>
        </w:rPr>
        <w:t>Programs or policies including small claim courts must be evaluated from the point of view of effectiveness. The word "effective" itself comes from the word "successful", which means something that is carried out well or successfully. The ability to complete tasks and activities without experiencing stress or pressure while doing so is called effective.</w:t>
      </w:r>
      <w:r w:rsidR="001C3C1A">
        <w:rPr>
          <w:rFonts w:ascii="Garamond" w:hAnsi="Garamond"/>
          <w:sz w:val="24"/>
          <w:szCs w:val="24"/>
        </w:rPr>
        <w:t xml:space="preserve"> </w:t>
      </w:r>
      <w:r w:rsidR="001C3C1A" w:rsidRPr="001C3C1A">
        <w:rPr>
          <w:rFonts w:ascii="Garamond" w:hAnsi="Garamond"/>
          <w:sz w:val="24"/>
          <w:szCs w:val="24"/>
        </w:rPr>
        <w:t>The extent to which a program or policy achieves its goals and objectives is called program effectiveness. It includes an evaluation of the results of the program and how it impacts the target group or society as a whole. Effectiveness is concerned with how efficiently a person can achieve the desired goal or outcome of a series of actions or processes. According to Sutrisno, effectiveness indicators including program understanding, on target, on time, goal achievement, and real change can be used to evaluate how effective a program</w:t>
      </w:r>
      <w:r w:rsidR="001C3C1A">
        <w:rPr>
          <w:rFonts w:ascii="Garamond" w:hAnsi="Garamond"/>
          <w:sz w:val="24"/>
          <w:szCs w:val="24"/>
        </w:rPr>
        <w:t>.</w:t>
      </w:r>
    </w:p>
    <w:p w14:paraId="030071FA" w14:textId="161E6DE4" w:rsidR="000673E7" w:rsidRDefault="00C57094" w:rsidP="00647163">
      <w:pPr>
        <w:tabs>
          <w:tab w:val="left" w:pos="7920"/>
        </w:tabs>
        <w:spacing w:after="0" w:line="276" w:lineRule="auto"/>
        <w:ind w:firstLine="567"/>
        <w:jc w:val="both"/>
        <w:rPr>
          <w:rFonts w:ascii="Garamond" w:hAnsi="Garamond"/>
          <w:sz w:val="24"/>
          <w:szCs w:val="24"/>
        </w:rPr>
      </w:pPr>
      <w:r w:rsidRPr="00C57094">
        <w:rPr>
          <w:rFonts w:ascii="Garamond" w:hAnsi="Garamond"/>
          <w:sz w:val="24"/>
          <w:szCs w:val="24"/>
        </w:rPr>
        <w:t>Effectiveness is centered on outcomes, considered effective if the output produced can meet the objectives. Effectiveness indicates success in terms of achieving goals. Effectiveness shows the ability of a company to achieve the goals (final results) that have been set precisely. The achievement of the final result in accordance with the set time target to measure the capabilities of the applicable standards reflects that a company has demonstrated operational effectiveness</w:t>
      </w:r>
      <w:r w:rsidRPr="00C57094">
        <w:t xml:space="preserve"> </w:t>
      </w:r>
      <w:r w:rsidRPr="00C57094">
        <w:rPr>
          <w:rFonts w:ascii="Garamond" w:hAnsi="Garamond"/>
          <w:sz w:val="24"/>
          <w:szCs w:val="24"/>
        </w:rPr>
        <w:t>Effectiveness is centered on outcomes, considered effective if the output produced can meet the objectives. Effectiveness indicates success in terms of achieving goals. Effectiveness shows the ability of a company to achieve the goals (final results) that have been set precisely. The achievement of the final result in accordance with the set time target to measure the capabilities of the applicable standards reflects that a company has demonst</w:t>
      </w:r>
      <w:r>
        <w:rPr>
          <w:rFonts w:ascii="Garamond" w:hAnsi="Garamond"/>
          <w:sz w:val="24"/>
          <w:szCs w:val="24"/>
        </w:rPr>
        <w:t xml:space="preserve">rated operational effectiveness </w:t>
      </w:r>
      <w:r>
        <w:rPr>
          <w:rFonts w:ascii="Garamond" w:hAnsi="Garamond"/>
          <w:sz w:val="24"/>
          <w:szCs w:val="24"/>
        </w:rPr>
        <w:fldChar w:fldCharType="begin" w:fldLock="1"/>
      </w:r>
      <w:r w:rsidR="00F877A8">
        <w:rPr>
          <w:rFonts w:ascii="Garamond" w:hAnsi="Garamond"/>
          <w:sz w:val="24"/>
          <w:szCs w:val="24"/>
        </w:rPr>
        <w:instrText>ADDIN CSL_CITATION {"citationItems":[{"id":"ITEM-1","itemData":{"author":[{"dropping-particle":"","family":"Asia","given":"Sitti","non-dropping-particle":"","parse-names":false,"suffix":""},{"dropping-particle":"","family":"Keri","given":"Ismail","non-dropping-particle":"","parse-names":false,"suffix":""}],"container-title":"IEB JOURNAL Islamic Economics and Business Journal","id":"ITEM-1","issue":"2","issued":{"date-parts":[["2021"]]},"page":"37-58","title":"Islamic Economics and Business Journal","type":"article-journal","volume":"3"},"uris":["http://www.mendeley.com/documents/?uuid=4b99fef3-c128-459d-8e82-30c40ad8096b","http://www.mendeley.com/documents/?uuid=2b60df6b-2ccf-413c-a159-11317359065b"]}],"mendeley":{"formattedCitation":"(Asia and Keri 2021)","plainTextFormattedCitation":"(Asia and Keri 2021)","previouslyFormattedCitation":"(Asia and Keri 2021)"},"properties":{"noteIndex":0},"schema":"https://github.com/citation-style-language/schema/raw/master/csl-citation.json"}</w:instrText>
      </w:r>
      <w:r>
        <w:rPr>
          <w:rFonts w:ascii="Garamond" w:hAnsi="Garamond"/>
          <w:sz w:val="24"/>
          <w:szCs w:val="24"/>
        </w:rPr>
        <w:fldChar w:fldCharType="separate"/>
      </w:r>
      <w:r w:rsidRPr="00C57094">
        <w:rPr>
          <w:rFonts w:ascii="Garamond" w:hAnsi="Garamond"/>
          <w:noProof/>
          <w:sz w:val="24"/>
          <w:szCs w:val="24"/>
        </w:rPr>
        <w:t>(Asia and Keri 2021)</w:t>
      </w:r>
      <w:r>
        <w:rPr>
          <w:rFonts w:ascii="Garamond" w:hAnsi="Garamond"/>
          <w:sz w:val="24"/>
          <w:szCs w:val="24"/>
        </w:rPr>
        <w:fldChar w:fldCharType="end"/>
      </w:r>
      <w:r w:rsidRPr="00C57094">
        <w:rPr>
          <w:rFonts w:ascii="Garamond" w:hAnsi="Garamond"/>
          <w:sz w:val="24"/>
          <w:szCs w:val="24"/>
        </w:rPr>
        <w:t>.</w:t>
      </w:r>
    </w:p>
    <w:p w14:paraId="432144B5" w14:textId="77777777" w:rsidR="00CD669F" w:rsidRPr="00CD669F" w:rsidRDefault="00207218" w:rsidP="00DC6FA1">
      <w:pPr>
        <w:tabs>
          <w:tab w:val="left" w:pos="7920"/>
        </w:tabs>
        <w:spacing w:after="0" w:line="276" w:lineRule="auto"/>
        <w:jc w:val="both"/>
        <w:rPr>
          <w:rFonts w:ascii="Garamond" w:hAnsi="Garamond"/>
          <w:b/>
          <w:sz w:val="24"/>
          <w:szCs w:val="24"/>
        </w:rPr>
      </w:pPr>
      <w:r>
        <w:rPr>
          <w:rFonts w:ascii="Garamond" w:hAnsi="Garamond"/>
          <w:b/>
          <w:sz w:val="24"/>
          <w:szCs w:val="24"/>
        </w:rPr>
        <w:t>Financing and Non-Performing Financing</w:t>
      </w:r>
    </w:p>
    <w:p w14:paraId="2EEFA0D1" w14:textId="34E1DC6E" w:rsidR="00647163" w:rsidRDefault="00207218" w:rsidP="00647163">
      <w:pPr>
        <w:tabs>
          <w:tab w:val="left" w:pos="7920"/>
        </w:tabs>
        <w:spacing w:after="0" w:line="276" w:lineRule="auto"/>
        <w:ind w:firstLine="567"/>
        <w:jc w:val="both"/>
        <w:rPr>
          <w:rFonts w:ascii="Garamond" w:hAnsi="Garamond" w:cstheme="majorBidi"/>
          <w:sz w:val="24"/>
          <w:szCs w:val="24"/>
        </w:rPr>
      </w:pPr>
      <w:r>
        <w:rPr>
          <w:rFonts w:asciiTheme="majorBidi" w:hAnsiTheme="majorBidi" w:cstheme="majorBidi"/>
          <w:sz w:val="24"/>
          <w:szCs w:val="24"/>
        </w:rPr>
        <w:t xml:space="preserve"> </w:t>
      </w:r>
      <w:r w:rsidRPr="00664FE0">
        <w:rPr>
          <w:rFonts w:ascii="Garamond" w:hAnsi="Garamond" w:cstheme="majorBidi"/>
          <w:sz w:val="24"/>
          <w:szCs w:val="24"/>
        </w:rPr>
        <w:t xml:space="preserve">Financing based on sharia principles according to Banking Law Number 10 of 1998 is the provision of funds based on an agreement or agreement between the bank and the customer that </w:t>
      </w:r>
      <w:r w:rsidRPr="00664FE0">
        <w:rPr>
          <w:rFonts w:ascii="Garamond" w:hAnsi="Garamond" w:cstheme="majorBidi"/>
          <w:sz w:val="24"/>
          <w:szCs w:val="24"/>
        </w:rPr>
        <w:lastRenderedPageBreak/>
        <w:t>provides financing or loans to the customer for a specified period and is agreed upon by both parties to return the loan or bill given in exchange or profit sharing.</w:t>
      </w:r>
      <w:r>
        <w:rPr>
          <w:rFonts w:ascii="Garamond" w:hAnsi="Garamond" w:cstheme="majorBidi"/>
          <w:sz w:val="24"/>
          <w:szCs w:val="24"/>
        </w:rPr>
        <w:t xml:space="preserve"> Four types of sharia financing </w:t>
      </w:r>
      <w:r w:rsidRPr="00664FE0">
        <w:rPr>
          <w:rFonts w:ascii="Garamond" w:hAnsi="Garamond" w:cstheme="majorBidi"/>
          <w:sz w:val="24"/>
          <w:szCs w:val="24"/>
        </w:rPr>
        <w:t xml:space="preserve"> mudharabah, musyarakah, murabahah, and ijarah underlie financing based on sharia principles</w:t>
      </w:r>
      <w:r w:rsidR="00F877A8">
        <w:rPr>
          <w:rFonts w:ascii="Garamond" w:hAnsi="Garamond" w:cstheme="majorBidi"/>
          <w:sz w:val="24"/>
          <w:szCs w:val="24"/>
        </w:rPr>
        <w:t xml:space="preserve"> </w:t>
      </w:r>
      <w:r w:rsidR="00F877A8">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{"citationItems":[{"id":"ITEM-1","itemData":{"ISBN":"9786238486915","author":[{"dropping-particle":"","family":"Isman","given":"Ainul Fatha","non-dropping-particle":"","parse-names":false,"suffix":""}],"id":"ITEM-1","issued":{"date-parts":[["2024"]]},"publisher":"Selat Media","publisher-place":"Yogyakarta","title":"Merger Perbankan Syariah di Indonesia","type":"book"},"uris":["http://www.mendeley.com/documents/?uuid=96e5f421-31b7-4d93-a59b-9bbae537ab53"]}],"mendeley":{"formattedCitation":"(Isman 2024)","plainTextFormattedCitation":"(Isman 2024)"},"properties":{"noteIndex":0},"schema":"https://github.com/citation-style-language/schema/raw/master/csl-citation.json"}</w:instrText>
      </w:r>
      <w:r w:rsidR="00F877A8">
        <w:rPr>
          <w:rFonts w:ascii="Garamond" w:hAnsi="Garamond" w:cstheme="majorBidi"/>
          <w:sz w:val="24"/>
          <w:szCs w:val="24"/>
        </w:rPr>
        <w:fldChar w:fldCharType="separate"/>
      </w:r>
      <w:r w:rsidR="00F877A8" w:rsidRPr="00F877A8">
        <w:rPr>
          <w:rFonts w:ascii="Garamond" w:hAnsi="Garamond" w:cstheme="majorBidi"/>
          <w:noProof/>
          <w:sz w:val="24"/>
          <w:szCs w:val="24"/>
        </w:rPr>
        <w:t>(Isman 2024)</w:t>
      </w:r>
      <w:r w:rsidR="00F877A8">
        <w:rPr>
          <w:rFonts w:ascii="Garamond" w:hAnsi="Garamond" w:cstheme="majorBidi"/>
          <w:sz w:val="24"/>
          <w:szCs w:val="24"/>
        </w:rPr>
        <w:fldChar w:fldCharType="end"/>
      </w:r>
      <w:r w:rsidRPr="00664FE0">
        <w:rPr>
          <w:rFonts w:ascii="Garamond" w:hAnsi="Garamond" w:cstheme="majorBidi"/>
          <w:sz w:val="24"/>
          <w:szCs w:val="24"/>
        </w:rPr>
        <w:t xml:space="preserve">. Financing has </w:t>
      </w:r>
      <w:r>
        <w:rPr>
          <w:rFonts w:ascii="Garamond" w:hAnsi="Garamond" w:cstheme="majorBidi"/>
          <w:sz w:val="24"/>
          <w:szCs w:val="24"/>
        </w:rPr>
        <w:t>five principles known as the 5C</w:t>
      </w:r>
      <w:r w:rsidRPr="00664FE0">
        <w:rPr>
          <w:rFonts w:ascii="Garamond" w:hAnsi="Garamond" w:cstheme="majorBidi"/>
          <w:sz w:val="24"/>
          <w:szCs w:val="24"/>
        </w:rPr>
        <w:t xml:space="preserve"> such as character, capacity, capital, collateral, and condition.</w:t>
      </w:r>
      <w:r w:rsidR="00575202">
        <w:rPr>
          <w:rFonts w:ascii="Garamond" w:hAnsi="Garamond" w:cstheme="majorBidi"/>
          <w:sz w:val="24"/>
          <w:szCs w:val="24"/>
        </w:rPr>
        <w:t xml:space="preserve"> </w:t>
      </w:r>
      <w:r w:rsidRPr="00664FE0">
        <w:rPr>
          <w:rFonts w:ascii="Garamond" w:hAnsi="Garamond" w:cstheme="majorBidi"/>
          <w:sz w:val="24"/>
          <w:szCs w:val="24"/>
        </w:rPr>
        <w:t>Character is a belief that the characteristics of the person to be given financing are truly trustworthy, which is reflected in the customer's background, such as his lifestyle or lifestyle, family status, hobbies, and social status. Ability or the ability to see customers in the business field related to their education, business ability is also measured by their ability to understand government regulations and how they have run</w:t>
      </w:r>
      <w:r w:rsidR="00003F4D">
        <w:rPr>
          <w:rFonts w:ascii="Garamond" w:hAnsi="Garamond" w:cstheme="majorBidi"/>
          <w:sz w:val="24"/>
          <w:szCs w:val="24"/>
        </w:rPr>
        <w:t xml:space="preserve"> their business. Capital</w:t>
      </w:r>
      <w:r w:rsidRPr="00664FE0">
        <w:rPr>
          <w:rFonts w:ascii="Garamond" w:hAnsi="Garamond" w:cstheme="majorBidi"/>
          <w:sz w:val="24"/>
          <w:szCs w:val="24"/>
        </w:rPr>
        <w:t>, to find out whether the use of capital is effective, financial statements (balance sheet and profit and loss) are examined by looking at liquidity, solvency, profitability, and other metrics. Collateral or guarantee, meaning that the guarantee provided by prospective financing customers, both physically and non-physically, the amount of collateral may exceed the amount of financing, and collateral must also be checked to ensure that in the event of a problem, the collateral entrusted can be used quickly</w:t>
      </w:r>
      <w:r w:rsidR="00003F4D">
        <w:rPr>
          <w:rFonts w:ascii="Garamond" w:hAnsi="Garamond" w:cstheme="majorBidi"/>
          <w:sz w:val="24"/>
          <w:szCs w:val="24"/>
        </w:rPr>
        <w:t xml:space="preserve"> </w:t>
      </w:r>
      <w:r w:rsidR="00003F4D">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{"citationItems":[{"id":"ITEM-1","itemData":{"author":[{"dropping-particle":"","family":"Al-slehat","given":"Zaher Abdel Fattah","non-dropping-particle":"","parse-names":false,"suffix":""},{"dropping-particle":"","family":"Almanaseer","given":"Sufian Radwan","non-dropping-particle":"","parse-names":false,"suffix":""},{"dropping-particle":"","family":"Mustafa","given":"Bader","non-dropping-particle":"","parse-names":false,"suffix":""},{"dropping-particle":"","family":"Al","given":"Mahmoud","non-dropping-particle":"","parse-names":false,"suffix":""}],"container-title":"Econ Journals","id":"ITEM-1","issue":"6","issued":{"date-parts":[["2024"]]},"page":"274-287","title":"Creditworthiness Criteria According to the 5Cs Model and Credit Decision : The Moderating Role of Intellectual Capital","type":"article-journal","volume":"14"},"uris":["http://www.mendeley.com/documents/?uuid=72dce86a-429c-46dd-b051-15550ae36497","http://www.mendeley.com/documents/?uuid=ce144c4b-885f-4d42-abea-1ec47dbfe6cf"]}],"mendeley":{"formattedCitation":"(Al-slehat et al. 2024)","plainTextFormattedCitation":"(Al-slehat et al. 2024)","previouslyFormattedCitation":"(Al-slehat et al. 2024)"},"properties":{"noteIndex":0},"schema":"https://github.com/citation-style-language/schema/raw/master/csl-citation.json"}</w:instrText>
      </w:r>
      <w:r w:rsidR="00003F4D">
        <w:rPr>
          <w:rFonts w:ascii="Garamond" w:hAnsi="Garamond" w:cstheme="majorBidi"/>
          <w:sz w:val="24"/>
          <w:szCs w:val="24"/>
        </w:rPr>
        <w:fldChar w:fldCharType="separate"/>
      </w:r>
      <w:r w:rsidR="00003F4D" w:rsidRPr="00003F4D">
        <w:rPr>
          <w:rFonts w:ascii="Garamond" w:hAnsi="Garamond" w:cstheme="majorBidi"/>
          <w:noProof/>
          <w:sz w:val="24"/>
          <w:szCs w:val="24"/>
        </w:rPr>
        <w:t>(Al-slehat et al. 2024)</w:t>
      </w:r>
      <w:r w:rsidR="00003F4D">
        <w:rPr>
          <w:rFonts w:ascii="Garamond" w:hAnsi="Garamond" w:cstheme="majorBidi"/>
          <w:sz w:val="24"/>
          <w:szCs w:val="24"/>
        </w:rPr>
        <w:fldChar w:fldCharType="end"/>
      </w:r>
      <w:r w:rsidRPr="00664FE0">
        <w:rPr>
          <w:rFonts w:ascii="Garamond" w:hAnsi="Garamond" w:cstheme="majorBidi"/>
          <w:sz w:val="24"/>
          <w:szCs w:val="24"/>
        </w:rPr>
        <w:t>. Condition of Economy or economic conditions, in assessing financing, must consider current and future economic and political conditions according to their respective sectors, as well as the business prospects of the financed sector</w:t>
      </w:r>
      <w:r w:rsidR="006463DF">
        <w:rPr>
          <w:rFonts w:ascii="Garamond" w:hAnsi="Garamond" w:cstheme="majorBidi"/>
          <w:sz w:val="24"/>
          <w:szCs w:val="24"/>
        </w:rPr>
        <w:t xml:space="preserve"> </w:t>
      </w:r>
      <w:r w:rsidR="006463DF">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ISBN":"0000000202336","author":[{"dropping-particle":"","family":"Hernawati","given":"Erna","non-dropping-particle":"","parse-names":false,"suffix":""},{"dropping-particle":"","family":"Razak","given":"Abdul","non-dropping-particle":"","parse-names":false,"suffix":""},{"dropping-particle":"","family":"Hadi","given":"Abdul","non-dropping-particle":"","parse-names":false,"suffix":""},{"dropping-particle":"","family":"Aspiranti","given":"Tasya","non-dropping-particle":"","parse-names":false,"suffix":""},{"dropping-particle":"","family":"Rehan","given":"Raja","non-dropping-particle":"","parse-names":false,"suffix":""}],"container-title":"Cuadernos de economia","id":"ITEM-1","issue":"126","issued":{"date-parts":[["2021"]]},"page":"1-9","title":"Non-Performing Financing Among Islamic Banks in Asia-Pacific Region","type":"article-journal","volume":"44"},"uris":["http://www.mendeley.com/documents/?uuid=f9ed69ee-b03f-47db-a0d8-95e21317ce2f","http://www.mendeley.com/documents/?uuid=e1452d78-ee02-4fc2-8e73-abb6b5efec29"]}],"mendeley":{"formattedCitation":"(Hernawati et al. 2021)","plainTextFormattedCitation":"(Hernawati et al. 2021)","previouslyFormattedCitation":"(Hernawati et al. 2021)"},"properties":{"noteIndex":0},"schema":"https://github.com/citation-style-language/schema/raw/master/csl-citation.json"}</w:instrText>
      </w:r>
      <w:r w:rsidR="006463DF">
        <w:rPr>
          <w:rFonts w:ascii="Garamond" w:hAnsi="Garamond" w:cstheme="majorBidi"/>
          <w:sz w:val="24"/>
          <w:szCs w:val="24"/>
        </w:rPr>
        <w:fldChar w:fldCharType="separate"/>
      </w:r>
      <w:r w:rsidR="006463DF" w:rsidRPr="006463DF">
        <w:rPr>
          <w:rFonts w:ascii="Garamond" w:hAnsi="Garamond" w:cstheme="majorBidi"/>
          <w:noProof/>
          <w:sz w:val="24"/>
          <w:szCs w:val="24"/>
        </w:rPr>
        <w:t>(Hernawati et al. 2021)</w:t>
      </w:r>
      <w:r w:rsidR="006463DF">
        <w:rPr>
          <w:rFonts w:ascii="Garamond" w:hAnsi="Garamond" w:cstheme="majorBidi"/>
          <w:sz w:val="24"/>
          <w:szCs w:val="24"/>
        </w:rPr>
        <w:fldChar w:fldCharType="end"/>
      </w:r>
      <w:r w:rsidRPr="00664FE0">
        <w:rPr>
          <w:rFonts w:ascii="Garamond" w:hAnsi="Garamond" w:cstheme="majorBidi"/>
          <w:sz w:val="24"/>
          <w:szCs w:val="24"/>
        </w:rPr>
        <w:t>. The assessment of the prospects of the financed business field must have strong prospects so that the possibility of financing problems is relatively small</w:t>
      </w:r>
      <w:r w:rsidR="006463DF">
        <w:rPr>
          <w:rFonts w:ascii="Garamond" w:hAnsi="Garamond" w:cstheme="majorBidi"/>
          <w:sz w:val="24"/>
          <w:szCs w:val="24"/>
        </w:rPr>
        <w:t xml:space="preserve"> </w:t>
      </w:r>
      <w:r w:rsidR="006463DF">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{"citationItems":[{"id":"ITEM-1","itemData":{"author":[{"dropping-particle":"","family":"Fakhrunnas","given":"Faaza","non-dropping-particle":"","parse-names":false,"suffix":""},{"dropping-particle":"","family":"Anto","given":"M B Hendrie","non-dropping-particle":"","parse-names":false,"suffix":""}],"id":"ITEM-1","issue":"January","issued":{"date-parts":[["2024"]]},"page":"130-142","title":"Investigating the Determinants of Islamic Banks ’ Financing Quality : A Regional Approach","type":"article-journal","volume":"7"},"uris":["http://www.mendeley.com/documents/?uuid=5d782166-4c36-4e45-a539-69911d2af220","http://www.mendeley.com/documents/?uuid=eed01834-8021-49d3-97d0-7e1d1d3c17c7"]}],"mendeley":{"formattedCitation":"(Fakhrunnas and Anto 2024)","plainTextFormattedCitation":"(Fakhrunnas and Anto 2024)","previouslyFormattedCitation":"(Fakhrunnas and Anto 2024)"},"properties":{"noteIndex":0},"schema":"https://github.com/citation-style-language/schema/raw/master/csl-citation.json"}</w:instrText>
      </w:r>
      <w:r w:rsidR="006463DF">
        <w:rPr>
          <w:rFonts w:ascii="Garamond" w:hAnsi="Garamond" w:cstheme="majorBidi"/>
          <w:sz w:val="24"/>
          <w:szCs w:val="24"/>
        </w:rPr>
        <w:fldChar w:fldCharType="separate"/>
      </w:r>
      <w:r w:rsidR="006463DF" w:rsidRPr="006463DF">
        <w:rPr>
          <w:rFonts w:ascii="Garamond" w:hAnsi="Garamond" w:cstheme="majorBidi"/>
          <w:noProof/>
          <w:sz w:val="24"/>
          <w:szCs w:val="24"/>
        </w:rPr>
        <w:t>(Fakhrunnas and Anto 2024)</w:t>
      </w:r>
      <w:r w:rsidR="006463DF">
        <w:rPr>
          <w:rFonts w:ascii="Garamond" w:hAnsi="Garamond" w:cstheme="majorBidi"/>
          <w:sz w:val="24"/>
          <w:szCs w:val="24"/>
        </w:rPr>
        <w:fldChar w:fldCharType="end"/>
      </w:r>
      <w:r w:rsidRPr="00664FE0">
        <w:rPr>
          <w:rFonts w:ascii="Garamond" w:hAnsi="Garamond" w:cstheme="majorBidi"/>
          <w:sz w:val="24"/>
          <w:szCs w:val="24"/>
        </w:rPr>
        <w:t>.</w:t>
      </w:r>
    </w:p>
    <w:p w14:paraId="117CE0AD" w14:textId="2FE55451" w:rsidR="00647163" w:rsidRDefault="00207218" w:rsidP="00647163">
      <w:pPr>
        <w:tabs>
          <w:tab w:val="left" w:pos="7920"/>
        </w:tabs>
        <w:spacing w:after="0" w:line="276" w:lineRule="auto"/>
        <w:ind w:firstLine="567"/>
        <w:jc w:val="both"/>
        <w:rPr>
          <w:rFonts w:ascii="Garamond" w:hAnsi="Garamond" w:cstheme="majorBidi"/>
          <w:sz w:val="24"/>
          <w:szCs w:val="24"/>
        </w:rPr>
      </w:pPr>
      <w:r>
        <w:rPr>
          <w:rFonts w:ascii="Garamond" w:hAnsi="Garamond" w:cstheme="majorBidi"/>
          <w:sz w:val="24"/>
          <w:szCs w:val="24"/>
        </w:rPr>
        <w:t>F</w:t>
      </w:r>
      <w:r w:rsidRPr="00575202">
        <w:rPr>
          <w:rFonts w:ascii="Garamond" w:hAnsi="Garamond" w:cstheme="majorBidi"/>
          <w:sz w:val="24"/>
          <w:szCs w:val="24"/>
        </w:rPr>
        <w:t>inancing customers who do not fulfill their obligations are referred to as defaulting so financing transactions do not run smoothly and cause disputes. This dispute is dominated by non-performing financing which in commercial banks is known as macerate loans or Non-Performance Loans (NPL)</w:t>
      </w:r>
      <w:r w:rsidR="002A00FB">
        <w:rPr>
          <w:rFonts w:ascii="Garamond" w:hAnsi="Garamond" w:cstheme="majorBidi"/>
          <w:sz w:val="24"/>
          <w:szCs w:val="24"/>
        </w:rPr>
        <w:t xml:space="preserve"> </w:t>
      </w:r>
      <w:r w:rsidR="003D46D6">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{"citationItems":[{"id":"ITEM-1","itemData":{"author":[{"dropping-particle":"","family":"Supriyatni","given":"Renny","non-dropping-particle":"","parse-names":false,"suffix":""}],"id":"ITEM-1","issue":"35","issued":{"date-parts":[["2021"]]},"page":"26-46","title":"The Urgency of Handling Non-Performing Financing in Sharia Banks in the Development of Indonesian Sharia Economics","type":"article-journal"},"uris":["http://www.mendeley.com/documents/?uuid=9119fbac-c3ae-4825-b532-a2e7df50b340","http://www.mendeley.com/documents/?uuid=90f7833d-b7a4-47a0-b2fa-14cc981224b9"]}],"mendeley":{"formattedCitation":"(Supriyatni 2021)","plainTextFormattedCitation":"(Supriyatni 2021)","previouslyFormattedCitation":"(Supriyatni 2021)"},"properties":{"noteIndex":0},"schema":"https://github.com/citation-style-language/schema/raw/master/csl-citation.json"}</w:instrText>
      </w:r>
      <w:r w:rsidR="003D46D6">
        <w:rPr>
          <w:rFonts w:ascii="Garamond" w:hAnsi="Garamond" w:cstheme="majorBidi"/>
          <w:sz w:val="24"/>
          <w:szCs w:val="24"/>
        </w:rPr>
        <w:fldChar w:fldCharType="separate"/>
      </w:r>
      <w:r w:rsidR="0090100A" w:rsidRPr="0090100A">
        <w:rPr>
          <w:rFonts w:ascii="Garamond" w:hAnsi="Garamond" w:cstheme="majorBidi"/>
          <w:noProof/>
          <w:sz w:val="24"/>
          <w:szCs w:val="24"/>
        </w:rPr>
        <w:t>(Supriyatni 2021)</w:t>
      </w:r>
      <w:r w:rsidR="003D46D6">
        <w:rPr>
          <w:rFonts w:ascii="Garamond" w:hAnsi="Garamond" w:cstheme="majorBidi"/>
          <w:sz w:val="24"/>
          <w:szCs w:val="24"/>
        </w:rPr>
        <w:fldChar w:fldCharType="end"/>
      </w:r>
      <w:r w:rsidR="003D46D6">
        <w:rPr>
          <w:rFonts w:ascii="Garamond" w:hAnsi="Garamond" w:cstheme="majorBidi"/>
          <w:sz w:val="24"/>
          <w:szCs w:val="24"/>
        </w:rPr>
        <w:t xml:space="preserve">. </w:t>
      </w:r>
      <w:r w:rsidRPr="0018529D">
        <w:rPr>
          <w:rFonts w:ascii="Garamond" w:hAnsi="Garamond" w:cstheme="majorBidi"/>
          <w:sz w:val="24"/>
          <w:szCs w:val="24"/>
        </w:rPr>
        <w:t xml:space="preserve">Non-performing financing, also known as non-performing financing is a condition in which the borrower is unable to meet its obligations and has reached the 3rd, 4th, and 5th collectibility caused by various reasons that require the financing agreement to be reviewed or amended. Therefore, there is a possibility that financing risks may increase </w:t>
      </w:r>
      <w:r w:rsidR="00CD669F">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{"citationItems":[{"id":"ITEM-1","itemData":{"author":[{"dropping-particle":"","family":"Darmawi","given":"Herman","non-dropping-particle":"","parse-names":false,"suffix":""}],"id":"ITEM-1","issued":{"date-parts":[["2011"]]},"number-of-pages":"105","publisher":"Bumi Aksara","publisher-place":"Jakarta","title":"Manajemen Perbankan","type":"book"},"uris":["http://www.mendeley.com/documents/?uuid=b015f86c-8a10-4011-bec5-e6cec5f75eaf","http://www.mendeley.com/documents/?uuid=db4542b2-2c69-4c30-943a-201c8ae160f8"]}],"mendeley":{"formattedCitation":"(Darmawi 2011)","plainTextFormattedCitation":"(Darmawi 2011)","previouslyFormattedCitation":"(Darmawi 2011)"},"properties":{"noteIndex":0},"schema":"https://github.com/citation-style-language/schema/raw/master/csl-citation.json"}</w:instrText>
      </w:r>
      <w:r w:rsidR="00CD669F">
        <w:rPr>
          <w:rFonts w:ascii="Garamond" w:hAnsi="Garamond" w:cstheme="majorBidi"/>
          <w:sz w:val="24"/>
          <w:szCs w:val="24"/>
        </w:rPr>
        <w:fldChar w:fldCharType="separate"/>
      </w:r>
      <w:r w:rsidR="0090100A" w:rsidRPr="0090100A">
        <w:rPr>
          <w:rFonts w:ascii="Garamond" w:hAnsi="Garamond" w:cstheme="majorBidi"/>
          <w:noProof/>
          <w:sz w:val="24"/>
          <w:szCs w:val="24"/>
        </w:rPr>
        <w:t>(Darmawi 2011)</w:t>
      </w:r>
      <w:r w:rsidR="00CD669F">
        <w:rPr>
          <w:rFonts w:ascii="Garamond" w:hAnsi="Garamond" w:cstheme="majorBidi"/>
          <w:sz w:val="24"/>
          <w:szCs w:val="24"/>
        </w:rPr>
        <w:fldChar w:fldCharType="end"/>
      </w:r>
      <w:r w:rsidR="00CD669F" w:rsidRPr="00CD669F">
        <w:rPr>
          <w:rFonts w:ascii="Garamond" w:hAnsi="Garamond" w:cstheme="majorBidi"/>
          <w:sz w:val="24"/>
          <w:szCs w:val="24"/>
        </w:rPr>
        <w:t>.</w:t>
      </w:r>
      <w:r w:rsidR="00CD669F">
        <w:rPr>
          <w:rFonts w:ascii="Garamond" w:hAnsi="Garamond" w:cstheme="majorBidi"/>
          <w:sz w:val="24"/>
          <w:szCs w:val="24"/>
        </w:rPr>
        <w:t xml:space="preserve"> </w:t>
      </w:r>
      <w:r w:rsidRPr="0018529D">
        <w:rPr>
          <w:rFonts w:ascii="Garamond" w:hAnsi="Garamond" w:cstheme="majorBidi"/>
          <w:sz w:val="24"/>
          <w:szCs w:val="24"/>
        </w:rPr>
        <w:t>According to Gup and Kolari, the first indicator that can be seen by bank management in determining the quality of Non-Performing Financing (NPF) loans is the number of non-accrual loans (loans whose interest is lowered) or loans whose term is extended due to non-performing debtors and real estate (confiscated proceeds).</w:t>
      </w:r>
    </w:p>
    <w:p w14:paraId="3401A699" w14:textId="763C60B4" w:rsidR="00647163" w:rsidRDefault="00207218" w:rsidP="00647163">
      <w:pPr>
        <w:tabs>
          <w:tab w:val="left" w:pos="7920"/>
        </w:tabs>
        <w:spacing w:after="0" w:line="276" w:lineRule="auto"/>
        <w:ind w:firstLine="567"/>
        <w:jc w:val="both"/>
        <w:rPr>
          <w:rFonts w:ascii="Garamond" w:hAnsi="Garamond" w:cstheme="majorBidi"/>
          <w:sz w:val="24"/>
          <w:szCs w:val="24"/>
        </w:rPr>
      </w:pPr>
      <w:r w:rsidRPr="0018529D">
        <w:rPr>
          <w:rFonts w:ascii="Garamond" w:hAnsi="Garamond" w:cstheme="majorBidi"/>
          <w:sz w:val="24"/>
          <w:szCs w:val="24"/>
        </w:rPr>
        <w:t>Biety and Karen Cak describe non-performing loans/financing as defaulting loans/financing if principal and interest installment payments are not paid by the credit agreement and will be reported as defaulting loans/financing based on the credit/financing installment schedule</w:t>
      </w:r>
      <w:r>
        <w:rPr>
          <w:rFonts w:ascii="Garamond" w:hAnsi="Garamond" w:cstheme="majorBidi"/>
          <w:sz w:val="24"/>
          <w:szCs w:val="24"/>
        </w:rPr>
        <w:t xml:space="preserve"> </w:t>
      </w:r>
      <w:r w:rsidR="00094C60">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{"citationItems":[{"id":"ITEM-1","itemData":{"author":[{"dropping-particle":"","family":"Asiyah","given":"Binti nur","non-dropping-particle":"","parse-names":false,"suffix":""}],"id":"ITEM-1","issued":{"date-parts":[["2019"]]},"title":"Buku Pembiayaan.Pdf","type":"article"},"uris":["http://www.mendeley.com/documents/?uuid=9d573384-f630-46ba-938b-660d01e6f7bd","http://www.mendeley.com/documents/?uuid=aeec30db-0d67-4b64-a706-696f9e30c495"]}],"mendeley":{"formattedCitation":"(Asiyah 2019)","plainTextFormattedCitation":"(Asiyah 2019)","previouslyFormattedCitation":"(Asiyah 2019)"},"properties":{"noteIndex":0},"schema":"https://github.com/citation-style-language/schema/raw/master/csl-citation.json"}</w:instrText>
      </w:r>
      <w:r w:rsidR="00094C60">
        <w:rPr>
          <w:rFonts w:ascii="Garamond" w:hAnsi="Garamond" w:cstheme="majorBidi"/>
          <w:sz w:val="24"/>
          <w:szCs w:val="24"/>
        </w:rPr>
        <w:fldChar w:fldCharType="separate"/>
      </w:r>
      <w:r w:rsidR="0090100A" w:rsidRPr="0090100A">
        <w:rPr>
          <w:rFonts w:ascii="Garamond" w:hAnsi="Garamond" w:cstheme="majorBidi"/>
          <w:noProof/>
          <w:sz w:val="24"/>
          <w:szCs w:val="24"/>
        </w:rPr>
        <w:t>(Asiyah 2019)</w:t>
      </w:r>
      <w:r w:rsidR="00094C60">
        <w:rPr>
          <w:rFonts w:ascii="Garamond" w:hAnsi="Garamond" w:cstheme="majorBidi"/>
          <w:sz w:val="24"/>
          <w:szCs w:val="24"/>
        </w:rPr>
        <w:fldChar w:fldCharType="end"/>
      </w:r>
      <w:r w:rsidR="00B37644">
        <w:rPr>
          <w:rFonts w:ascii="Garamond" w:hAnsi="Garamond" w:cstheme="majorBidi"/>
          <w:sz w:val="24"/>
          <w:szCs w:val="24"/>
        </w:rPr>
        <w:t>.</w:t>
      </w:r>
      <w:r w:rsidR="00094C60" w:rsidRPr="00CD669F">
        <w:rPr>
          <w:rFonts w:ascii="Garamond" w:hAnsi="Garamond" w:cstheme="majorBidi"/>
          <w:sz w:val="24"/>
          <w:szCs w:val="24"/>
        </w:rPr>
        <w:t xml:space="preserve"> </w:t>
      </w:r>
      <w:r w:rsidRPr="0018529D">
        <w:rPr>
          <w:rFonts w:ascii="Garamond" w:hAnsi="Garamond" w:cstheme="majorBidi"/>
          <w:sz w:val="24"/>
          <w:szCs w:val="24"/>
        </w:rPr>
        <w:t xml:space="preserve">Among the causes of </w:t>
      </w:r>
      <w:r w:rsidR="00384142">
        <w:rPr>
          <w:rFonts w:ascii="Garamond" w:hAnsi="Garamond" w:cstheme="majorBidi"/>
          <w:sz w:val="24"/>
          <w:szCs w:val="24"/>
        </w:rPr>
        <w:t>non-performing financing</w:t>
      </w:r>
      <w:r w:rsidRPr="0018529D">
        <w:rPr>
          <w:rFonts w:ascii="Garamond" w:hAnsi="Garamond" w:cstheme="majorBidi"/>
          <w:sz w:val="24"/>
          <w:szCs w:val="24"/>
        </w:rPr>
        <w:t xml:space="preserve"> can come from internal banking factors, the analysis carried out by the analysis party is not thorough or wrong in calculations. In addition, it can come from external factors such as natural disasters, economic crises, declining commodity prices, increases in demand prices, and government regulations. Another factor can also come from borrowers who have an element of intentionality not to pay their obligations to the bank so that the credit/financing provided is stuck</w:t>
      </w:r>
      <w:r>
        <w:rPr>
          <w:rFonts w:ascii="Garamond" w:hAnsi="Garamond" w:cstheme="majorBidi"/>
          <w:sz w:val="24"/>
          <w:szCs w:val="24"/>
        </w:rPr>
        <w:t>.</w:t>
      </w:r>
      <w:r w:rsidR="00B37644">
        <w:rPr>
          <w:rFonts w:ascii="Garamond" w:hAnsi="Garamond" w:cstheme="majorBidi"/>
          <w:sz w:val="24"/>
          <w:szCs w:val="24"/>
        </w:rPr>
        <w:t xml:space="preserve"> </w:t>
      </w:r>
      <w:r w:rsidR="00B37644">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{"citationItems":[{"id":"ITEM-1","itemData":{"DOI":"10.31000/almaal.v2i1.2741","abstract":"The natural disaster that occurred in Palu on September 28, 2018 was an earthquake that occurred due to the Palu Koro fault activity, which had a magnitude of 7.4 on the Richter scale, which had an impact on bank performance, primarily related to non-performing loans (NPLs). The purpose of this study was to determine the policy of handling non-performing loans for disaster victims as well as an analysis of the Islamic economy of the policy. This research belongs to the category of qualitative research with a descriptive analysis approach. The object under study is Islamic and conventional banks. The handling of problem loans still has several things that need to be clarified, especially for write offs and write offs that are not regulated in OJK Regulation No. 45/POJK.03/2017 concerning Special Treatment of Credit or Financing for Certain Areas in Indonesia Affected by Natural Disasters. In addition, the determination of credit quality and restructuring with a period of 3 years in special treatment for areas affected by natural disasters is too early to be determined, because the impact of natural disasters for each customer is different and allows some customers to make bad intentions by utilizing the situation to avoid payment.","author":[{"dropping-particle":"","family":"Sofyan","given":"Syaakir","non-dropping-particle":"","parse-names":false,"suffix":""}],"container-title":"Al Maal: Journal of Islamic Economics and Banking","id":"ITEM-1","issue":"1","issued":{"date-parts":[["2020"]]},"page":"83","title":"Kebijakan Penanganan Pembiayaan Bermasalah pada Bank Syariah dan Konvensional Perspektif Ekonomi Syariah Pasca Bencana di Sulawesi Tengah","type":"article-journal","volume":"2"},"uris":["http://www.mendeley.com/documents/?uuid=b7d2d4b6-541c-45e3-8907-94fd4637ae5b","http://www.mendeley.com/documents/?uuid=17d83dea-2784-477b-a532-5449299bf6a1"]}],"mendeley":{"formattedCitation":"(Sofyan 2020)","plainTextFormattedCitation":"(Sofyan 2020)","previouslyFormattedCitation":"(Sofyan 2020)"},"properties":{"noteIndex":0},"schema":"https://github.com/citation-style-language/schema/raw/master/csl-citation.json"}</w:instrText>
      </w:r>
      <w:r w:rsidR="00B37644">
        <w:rPr>
          <w:rFonts w:ascii="Garamond" w:hAnsi="Garamond" w:cstheme="majorBidi"/>
          <w:sz w:val="24"/>
          <w:szCs w:val="24"/>
        </w:rPr>
        <w:fldChar w:fldCharType="separate"/>
      </w:r>
      <w:r w:rsidR="0090100A" w:rsidRPr="0090100A">
        <w:rPr>
          <w:rFonts w:ascii="Garamond" w:hAnsi="Garamond" w:cstheme="majorBidi"/>
          <w:noProof/>
          <w:sz w:val="24"/>
          <w:szCs w:val="24"/>
        </w:rPr>
        <w:t>(Sofyan 2020)</w:t>
      </w:r>
      <w:r w:rsidR="00B37644">
        <w:rPr>
          <w:rFonts w:ascii="Garamond" w:hAnsi="Garamond" w:cstheme="majorBidi"/>
          <w:sz w:val="24"/>
          <w:szCs w:val="24"/>
        </w:rPr>
        <w:fldChar w:fldCharType="end"/>
      </w:r>
      <w:r>
        <w:rPr>
          <w:rFonts w:ascii="Garamond" w:hAnsi="Garamond" w:cstheme="majorBidi"/>
          <w:sz w:val="24"/>
          <w:szCs w:val="24"/>
        </w:rPr>
        <w:t>.</w:t>
      </w:r>
    </w:p>
    <w:p w14:paraId="5C1C7B19" w14:textId="3F1F6F67" w:rsidR="002B56D3" w:rsidRDefault="00207218" w:rsidP="00647163">
      <w:pPr>
        <w:tabs>
          <w:tab w:val="left" w:pos="7920"/>
        </w:tabs>
        <w:spacing w:after="0" w:line="276" w:lineRule="auto"/>
        <w:ind w:firstLine="567"/>
        <w:jc w:val="both"/>
        <w:rPr>
          <w:rFonts w:ascii="Garamond" w:hAnsi="Garamond" w:cstheme="majorBidi"/>
          <w:sz w:val="24"/>
          <w:szCs w:val="24"/>
        </w:rPr>
      </w:pPr>
      <w:r w:rsidRPr="0018529D">
        <w:rPr>
          <w:rFonts w:ascii="Garamond" w:hAnsi="Garamond" w:cstheme="majorBidi"/>
          <w:sz w:val="24"/>
          <w:szCs w:val="24"/>
        </w:rPr>
        <w:lastRenderedPageBreak/>
        <w:t>There are certain standards set for the quality of financing. In Bank Indonesia Circular Letter No. 7/3/DPNP dated 31 January 2005 regarding the Asset Quality of Commercial Banks, Bank Indonesia stipulates the following financing categories:</w:t>
      </w:r>
    </w:p>
    <w:p w14:paraId="4BAB56C2" w14:textId="77777777" w:rsidR="00094C60" w:rsidRPr="000F463D" w:rsidRDefault="00207218" w:rsidP="00094C60">
      <w:pPr>
        <w:spacing w:before="120" w:after="120" w:line="240" w:lineRule="auto"/>
        <w:jc w:val="center"/>
        <w:rPr>
          <w:rFonts w:ascii="Garamond" w:hAnsi="Garamond" w:cstheme="majorBidi"/>
          <w:bCs/>
          <w:sz w:val="20"/>
          <w:szCs w:val="20"/>
        </w:rPr>
      </w:pPr>
      <w:r w:rsidRPr="000F463D">
        <w:rPr>
          <w:rFonts w:ascii="Garamond" w:hAnsi="Garamond" w:cstheme="majorBidi"/>
          <w:bCs/>
          <w:sz w:val="20"/>
          <w:szCs w:val="20"/>
        </w:rPr>
        <w:t xml:space="preserve">Table 1. </w:t>
      </w:r>
      <w:r w:rsidRPr="000F463D">
        <w:rPr>
          <w:rFonts w:ascii="Garamond" w:hAnsi="Garamond"/>
          <w:bCs/>
          <w:color w:val="000000"/>
          <w:sz w:val="20"/>
          <w:szCs w:val="20"/>
        </w:rPr>
        <w:t>Collectibility of Financing</w:t>
      </w:r>
    </w:p>
    <w:tbl>
      <w:tblPr>
        <w:tblStyle w:val="TableGrid"/>
        <w:tblW w:w="7371" w:type="dxa"/>
        <w:tblInd w:w="704" w:type="dxa"/>
        <w:tblLook w:val="04A0" w:firstRow="1" w:lastRow="0" w:firstColumn="1" w:lastColumn="0" w:noHBand="0" w:noVBand="1"/>
      </w:tblPr>
      <w:tblGrid>
        <w:gridCol w:w="1003"/>
        <w:gridCol w:w="2043"/>
        <w:gridCol w:w="4325"/>
      </w:tblGrid>
      <w:tr w:rsidR="00A26235" w14:paraId="05008D6F" w14:textId="77777777" w:rsidTr="00DC6FA1">
        <w:tc>
          <w:tcPr>
            <w:tcW w:w="1003" w:type="dxa"/>
            <w:vAlign w:val="bottom"/>
          </w:tcPr>
          <w:p w14:paraId="072C20CE" w14:textId="77777777" w:rsidR="00094C60" w:rsidRPr="005E40C2" w:rsidRDefault="00207218" w:rsidP="00E07CE5">
            <w:pPr>
              <w:pStyle w:val="ListParagraph"/>
              <w:spacing w:line="360" w:lineRule="auto"/>
              <w:ind w:left="426"/>
              <w:jc w:val="center"/>
              <w:rPr>
                <w:rFonts w:ascii="Garamond" w:hAnsi="Garamond" w:cstheme="majorBidi"/>
                <w:b/>
                <w:sz w:val="24"/>
                <w:szCs w:val="24"/>
              </w:rPr>
            </w:pPr>
            <w:r>
              <w:rPr>
                <w:rFonts w:ascii="Garamond" w:hAnsi="Garamond" w:cstheme="majorBidi"/>
                <w:b/>
                <w:sz w:val="24"/>
                <w:szCs w:val="24"/>
              </w:rPr>
              <w:t>C</w:t>
            </w:r>
            <w:r w:rsidRPr="005E40C2">
              <w:rPr>
                <w:rFonts w:ascii="Garamond" w:hAnsi="Garamond" w:cstheme="majorBidi"/>
                <w:b/>
                <w:sz w:val="24"/>
                <w:szCs w:val="24"/>
              </w:rPr>
              <w:t>ol</w:t>
            </w:r>
          </w:p>
        </w:tc>
        <w:tc>
          <w:tcPr>
            <w:tcW w:w="2043" w:type="dxa"/>
            <w:vAlign w:val="bottom"/>
          </w:tcPr>
          <w:p w14:paraId="42F32786" w14:textId="77777777" w:rsidR="00094C60" w:rsidRPr="0018529D" w:rsidRDefault="00207218" w:rsidP="00E07CE5">
            <w:pPr>
              <w:pStyle w:val="ListParagraph"/>
              <w:spacing w:line="360" w:lineRule="auto"/>
              <w:ind w:left="426"/>
              <w:jc w:val="center"/>
              <w:rPr>
                <w:rFonts w:ascii="Garamond" w:hAnsi="Garamond" w:cstheme="majorBidi"/>
                <w:b/>
                <w:sz w:val="24"/>
                <w:szCs w:val="24"/>
                <w:lang w:val="en-US"/>
              </w:rPr>
            </w:pPr>
            <w:r>
              <w:rPr>
                <w:rFonts w:ascii="Garamond" w:hAnsi="Garamond" w:cstheme="majorBidi"/>
                <w:b/>
                <w:sz w:val="24"/>
                <w:szCs w:val="24"/>
                <w:lang w:val="en-US"/>
              </w:rPr>
              <w:t>Category</w:t>
            </w:r>
          </w:p>
        </w:tc>
        <w:tc>
          <w:tcPr>
            <w:tcW w:w="4325" w:type="dxa"/>
            <w:vAlign w:val="center"/>
          </w:tcPr>
          <w:p w14:paraId="05400B5C" w14:textId="77777777" w:rsidR="00094C60" w:rsidRPr="005E40C2" w:rsidRDefault="00207218" w:rsidP="00E07CE5">
            <w:pPr>
              <w:pStyle w:val="ListParagraph"/>
              <w:ind w:left="426"/>
              <w:jc w:val="center"/>
              <w:rPr>
                <w:rFonts w:ascii="Garamond" w:hAnsi="Garamond" w:cstheme="majorBidi"/>
                <w:b/>
                <w:sz w:val="24"/>
                <w:szCs w:val="24"/>
              </w:rPr>
            </w:pPr>
            <w:r>
              <w:rPr>
                <w:rFonts w:ascii="Garamond" w:hAnsi="Garamond" w:cstheme="majorBidi"/>
                <w:b/>
                <w:sz w:val="24"/>
                <w:szCs w:val="24"/>
              </w:rPr>
              <w:t>Indicators</w:t>
            </w:r>
          </w:p>
        </w:tc>
      </w:tr>
      <w:tr w:rsidR="00A26235" w14:paraId="7657E747" w14:textId="77777777" w:rsidTr="00DC6FA1">
        <w:tc>
          <w:tcPr>
            <w:tcW w:w="1003" w:type="dxa"/>
          </w:tcPr>
          <w:p w14:paraId="013E99F8" w14:textId="77777777" w:rsidR="00094C60" w:rsidRPr="005E40C2" w:rsidRDefault="00207218" w:rsidP="00E07CE5">
            <w:pPr>
              <w:pStyle w:val="ListParagraph"/>
              <w:spacing w:line="360" w:lineRule="auto"/>
              <w:ind w:left="426"/>
              <w:jc w:val="center"/>
              <w:rPr>
                <w:rFonts w:ascii="Garamond" w:hAnsi="Garamond" w:cstheme="majorBidi"/>
                <w:sz w:val="24"/>
                <w:szCs w:val="24"/>
              </w:rPr>
            </w:pPr>
            <w:r w:rsidRPr="005E40C2">
              <w:rPr>
                <w:rFonts w:ascii="Garamond" w:hAnsi="Garamond" w:cstheme="majorBidi"/>
                <w:sz w:val="24"/>
                <w:szCs w:val="24"/>
              </w:rPr>
              <w:t>1</w:t>
            </w:r>
          </w:p>
        </w:tc>
        <w:tc>
          <w:tcPr>
            <w:tcW w:w="2043" w:type="dxa"/>
          </w:tcPr>
          <w:p w14:paraId="59A56CE0" w14:textId="77777777" w:rsidR="00094C60" w:rsidRPr="0018529D" w:rsidRDefault="00207218" w:rsidP="00E07CE5">
            <w:pPr>
              <w:pStyle w:val="ListParagraph"/>
              <w:spacing w:line="360" w:lineRule="auto"/>
              <w:ind w:left="426"/>
              <w:jc w:val="both"/>
              <w:rPr>
                <w:rFonts w:ascii="Garamond" w:hAnsi="Garamond" w:cstheme="majorBidi"/>
                <w:sz w:val="24"/>
                <w:szCs w:val="24"/>
              </w:rPr>
            </w:pPr>
            <w:r>
              <w:rPr>
                <w:rFonts w:ascii="Garamond" w:hAnsi="Garamond" w:cstheme="majorBidi"/>
                <w:sz w:val="24"/>
                <w:szCs w:val="24"/>
                <w:lang w:val="en-US"/>
              </w:rPr>
              <w:t xml:space="preserve">       </w:t>
            </w:r>
            <w:r w:rsidRPr="0018529D">
              <w:rPr>
                <w:rFonts w:ascii="Garamond" w:hAnsi="Garamond" w:cstheme="majorBidi"/>
                <w:sz w:val="24"/>
                <w:szCs w:val="24"/>
              </w:rPr>
              <w:t>Pass</w:t>
            </w:r>
          </w:p>
        </w:tc>
        <w:tc>
          <w:tcPr>
            <w:tcW w:w="4325" w:type="dxa"/>
          </w:tcPr>
          <w:p w14:paraId="3A4EA68B" w14:textId="77777777" w:rsidR="00094C60" w:rsidRPr="00BC2963" w:rsidRDefault="00207218" w:rsidP="00E07CE5">
            <w:pPr>
              <w:spacing w:line="360" w:lineRule="auto"/>
              <w:jc w:val="both"/>
              <w:rPr>
                <w:rFonts w:ascii="Garamond" w:hAnsi="Garamond" w:cstheme="majorBidi"/>
                <w:sz w:val="24"/>
                <w:szCs w:val="24"/>
              </w:rPr>
            </w:pPr>
            <w:r w:rsidRPr="00BC2963">
              <w:rPr>
                <w:rFonts w:ascii="Garamond" w:hAnsi="Garamond"/>
                <w:color w:val="000000"/>
                <w:sz w:val="24"/>
                <w:szCs w:val="24"/>
              </w:rPr>
              <w:t>There are no arrears, and it meets all other financing requirements.</w:t>
            </w:r>
          </w:p>
        </w:tc>
      </w:tr>
      <w:tr w:rsidR="00A26235" w14:paraId="1229EE1D" w14:textId="77777777" w:rsidTr="00DC6FA1">
        <w:tc>
          <w:tcPr>
            <w:tcW w:w="1003" w:type="dxa"/>
          </w:tcPr>
          <w:p w14:paraId="25508542" w14:textId="77777777" w:rsidR="00094C60" w:rsidRPr="005E40C2" w:rsidRDefault="00207218" w:rsidP="00E07CE5">
            <w:pPr>
              <w:pStyle w:val="ListParagraph"/>
              <w:spacing w:line="360" w:lineRule="auto"/>
              <w:ind w:left="426"/>
              <w:jc w:val="center"/>
              <w:rPr>
                <w:rFonts w:ascii="Garamond" w:hAnsi="Garamond" w:cstheme="majorBidi"/>
                <w:sz w:val="24"/>
                <w:szCs w:val="24"/>
              </w:rPr>
            </w:pPr>
            <w:r w:rsidRPr="005E40C2">
              <w:rPr>
                <w:rFonts w:ascii="Garamond" w:hAnsi="Garamond" w:cstheme="majorBidi"/>
                <w:sz w:val="24"/>
                <w:szCs w:val="24"/>
              </w:rPr>
              <w:t>2</w:t>
            </w:r>
          </w:p>
        </w:tc>
        <w:tc>
          <w:tcPr>
            <w:tcW w:w="2043" w:type="dxa"/>
          </w:tcPr>
          <w:p w14:paraId="1D14EF33" w14:textId="77777777" w:rsidR="00094C60" w:rsidRPr="0018529D" w:rsidRDefault="00207218" w:rsidP="0018529D">
            <w:pPr>
              <w:spacing w:line="360" w:lineRule="auto"/>
              <w:jc w:val="both"/>
              <w:rPr>
                <w:rFonts w:ascii="Garamond" w:hAnsi="Garamond" w:cstheme="majorBidi"/>
                <w:sz w:val="24"/>
                <w:szCs w:val="24"/>
              </w:rPr>
            </w:pPr>
            <w:r>
              <w:rPr>
                <w:rFonts w:ascii="Garamond" w:hAnsi="Garamond" w:cstheme="majorBidi"/>
                <w:sz w:val="24"/>
                <w:szCs w:val="24"/>
              </w:rPr>
              <w:t xml:space="preserve">     </w:t>
            </w:r>
            <w:r w:rsidRPr="0018529D">
              <w:rPr>
                <w:rFonts w:ascii="Garamond" w:hAnsi="Garamond" w:cstheme="majorBidi"/>
                <w:sz w:val="24"/>
                <w:szCs w:val="24"/>
              </w:rPr>
              <w:t>Special Mention</w:t>
            </w:r>
          </w:p>
        </w:tc>
        <w:tc>
          <w:tcPr>
            <w:tcW w:w="4325" w:type="dxa"/>
          </w:tcPr>
          <w:p w14:paraId="4729302C" w14:textId="77777777" w:rsidR="00094C60" w:rsidRPr="00BC2963" w:rsidRDefault="00207218" w:rsidP="00E07CE5">
            <w:pPr>
              <w:spacing w:line="360" w:lineRule="auto"/>
              <w:jc w:val="both"/>
              <w:rPr>
                <w:rFonts w:ascii="Garamond" w:hAnsi="Garamond" w:cstheme="majorBidi"/>
                <w:sz w:val="24"/>
                <w:szCs w:val="24"/>
              </w:rPr>
            </w:pPr>
            <w:r w:rsidRPr="00BC2963">
              <w:rPr>
                <w:rFonts w:ascii="Garamond" w:hAnsi="Garamond"/>
                <w:color w:val="000000"/>
                <w:sz w:val="24"/>
                <w:szCs w:val="24"/>
              </w:rPr>
              <w:t>There is an arrears of principal or margin payments for 60 days to 90 days.</w:t>
            </w:r>
          </w:p>
        </w:tc>
      </w:tr>
      <w:tr w:rsidR="00A26235" w14:paraId="794E6958" w14:textId="77777777" w:rsidTr="00DC6FA1">
        <w:tc>
          <w:tcPr>
            <w:tcW w:w="1003" w:type="dxa"/>
          </w:tcPr>
          <w:p w14:paraId="6DA0981D" w14:textId="77777777" w:rsidR="00094C60" w:rsidRPr="005E40C2" w:rsidRDefault="00207218" w:rsidP="00E07CE5">
            <w:pPr>
              <w:pStyle w:val="ListParagraph"/>
              <w:spacing w:line="360" w:lineRule="auto"/>
              <w:ind w:left="426"/>
              <w:jc w:val="center"/>
              <w:rPr>
                <w:rFonts w:ascii="Garamond" w:hAnsi="Garamond" w:cstheme="majorBidi"/>
                <w:sz w:val="24"/>
                <w:szCs w:val="24"/>
              </w:rPr>
            </w:pPr>
            <w:r w:rsidRPr="005E40C2">
              <w:rPr>
                <w:rFonts w:ascii="Garamond" w:hAnsi="Garamond" w:cstheme="majorBidi"/>
                <w:sz w:val="24"/>
                <w:szCs w:val="24"/>
              </w:rPr>
              <w:t>3</w:t>
            </w:r>
          </w:p>
        </w:tc>
        <w:tc>
          <w:tcPr>
            <w:tcW w:w="2043" w:type="dxa"/>
          </w:tcPr>
          <w:p w14:paraId="44F8789C" w14:textId="77777777" w:rsidR="00094C60" w:rsidRPr="005E40C2" w:rsidRDefault="00207218" w:rsidP="00E07CE5">
            <w:pPr>
              <w:pStyle w:val="ListParagraph"/>
              <w:spacing w:line="360" w:lineRule="auto"/>
              <w:ind w:left="426"/>
              <w:jc w:val="both"/>
              <w:rPr>
                <w:rFonts w:ascii="Garamond" w:hAnsi="Garamond" w:cstheme="majorBidi"/>
                <w:sz w:val="24"/>
                <w:szCs w:val="24"/>
              </w:rPr>
            </w:pPr>
            <w:r w:rsidRPr="0018529D">
              <w:rPr>
                <w:rFonts w:ascii="Garamond" w:hAnsi="Garamond" w:cstheme="majorBidi"/>
                <w:sz w:val="24"/>
                <w:szCs w:val="24"/>
              </w:rPr>
              <w:t>Substandard</w:t>
            </w:r>
          </w:p>
        </w:tc>
        <w:tc>
          <w:tcPr>
            <w:tcW w:w="4325" w:type="dxa"/>
          </w:tcPr>
          <w:p w14:paraId="0B37DE0E" w14:textId="77777777" w:rsidR="00094C60" w:rsidRPr="00BC2963" w:rsidRDefault="00207218" w:rsidP="00E07CE5">
            <w:pPr>
              <w:spacing w:line="360" w:lineRule="auto"/>
              <w:jc w:val="both"/>
              <w:rPr>
                <w:rFonts w:ascii="Garamond" w:hAnsi="Garamond" w:cstheme="majorBidi"/>
                <w:sz w:val="24"/>
                <w:szCs w:val="24"/>
              </w:rPr>
            </w:pPr>
            <w:r w:rsidRPr="00BC2963">
              <w:rPr>
                <w:rFonts w:ascii="Garamond" w:hAnsi="Garamond"/>
                <w:color w:val="000000"/>
                <w:sz w:val="24"/>
                <w:szCs w:val="24"/>
              </w:rPr>
              <w:t>The arrears of principal or margin payments have been in place for 90 to 120 days.</w:t>
            </w:r>
          </w:p>
        </w:tc>
      </w:tr>
      <w:tr w:rsidR="00A26235" w14:paraId="1276B5C5" w14:textId="77777777" w:rsidTr="00DC6FA1">
        <w:tc>
          <w:tcPr>
            <w:tcW w:w="1003" w:type="dxa"/>
          </w:tcPr>
          <w:p w14:paraId="502C3FE4" w14:textId="77777777" w:rsidR="00094C60" w:rsidRPr="005E40C2" w:rsidRDefault="00207218" w:rsidP="00E07CE5">
            <w:pPr>
              <w:pStyle w:val="ListParagraph"/>
              <w:spacing w:line="360" w:lineRule="auto"/>
              <w:ind w:left="426"/>
              <w:jc w:val="center"/>
              <w:rPr>
                <w:rFonts w:ascii="Garamond" w:hAnsi="Garamond" w:cstheme="majorBidi"/>
                <w:sz w:val="24"/>
                <w:szCs w:val="24"/>
              </w:rPr>
            </w:pPr>
            <w:r w:rsidRPr="005E40C2">
              <w:rPr>
                <w:rFonts w:ascii="Garamond" w:hAnsi="Garamond" w:cstheme="majorBidi"/>
                <w:sz w:val="24"/>
                <w:szCs w:val="24"/>
              </w:rPr>
              <w:t>4</w:t>
            </w:r>
          </w:p>
        </w:tc>
        <w:tc>
          <w:tcPr>
            <w:tcW w:w="2043" w:type="dxa"/>
          </w:tcPr>
          <w:p w14:paraId="4C9BEF76" w14:textId="77777777" w:rsidR="00094C60" w:rsidRPr="0018529D" w:rsidRDefault="00207218" w:rsidP="00E07CE5">
            <w:pPr>
              <w:pStyle w:val="ListParagraph"/>
              <w:spacing w:line="360" w:lineRule="auto"/>
              <w:ind w:left="426"/>
              <w:jc w:val="both"/>
              <w:rPr>
                <w:rFonts w:ascii="Garamond" w:hAnsi="Garamond" w:cstheme="majorBidi"/>
                <w:sz w:val="24"/>
                <w:szCs w:val="24"/>
              </w:rPr>
            </w:pPr>
            <w:r w:rsidRPr="0018529D">
              <w:rPr>
                <w:rFonts w:ascii="Garamond" w:hAnsi="Garamond" w:cstheme="majorBidi"/>
                <w:sz w:val="24"/>
                <w:szCs w:val="24"/>
              </w:rPr>
              <w:t>Doubtful</w:t>
            </w:r>
          </w:p>
        </w:tc>
        <w:tc>
          <w:tcPr>
            <w:tcW w:w="4325" w:type="dxa"/>
          </w:tcPr>
          <w:p w14:paraId="153E4F59" w14:textId="77777777" w:rsidR="00094C60" w:rsidRPr="00BC2963" w:rsidRDefault="00207218" w:rsidP="00E07CE5">
            <w:pPr>
              <w:spacing w:line="360" w:lineRule="auto"/>
              <w:jc w:val="both"/>
              <w:rPr>
                <w:rFonts w:ascii="Garamond" w:hAnsi="Garamond" w:cstheme="majorBidi"/>
                <w:sz w:val="24"/>
                <w:szCs w:val="24"/>
              </w:rPr>
            </w:pPr>
            <w:r w:rsidRPr="00BC2963">
              <w:rPr>
                <w:rFonts w:ascii="Garamond" w:hAnsi="Garamond"/>
                <w:color w:val="000000"/>
                <w:sz w:val="24"/>
                <w:szCs w:val="24"/>
              </w:rPr>
              <w:t>The arrears of principal or margin payments are more than 120 to 180 days.</w:t>
            </w:r>
          </w:p>
        </w:tc>
      </w:tr>
      <w:tr w:rsidR="00A26235" w14:paraId="738F87E0" w14:textId="77777777" w:rsidTr="00DC6FA1">
        <w:tc>
          <w:tcPr>
            <w:tcW w:w="1003" w:type="dxa"/>
          </w:tcPr>
          <w:p w14:paraId="6F27EF06" w14:textId="77777777" w:rsidR="00094C60" w:rsidRPr="005E40C2" w:rsidRDefault="00207218" w:rsidP="00E07CE5">
            <w:pPr>
              <w:pStyle w:val="ListParagraph"/>
              <w:spacing w:line="360" w:lineRule="auto"/>
              <w:ind w:left="426"/>
              <w:jc w:val="center"/>
              <w:rPr>
                <w:rFonts w:ascii="Garamond" w:hAnsi="Garamond" w:cstheme="majorBidi"/>
                <w:sz w:val="24"/>
                <w:szCs w:val="24"/>
              </w:rPr>
            </w:pPr>
            <w:r w:rsidRPr="005E40C2">
              <w:rPr>
                <w:rFonts w:ascii="Garamond" w:hAnsi="Garamond" w:cstheme="majorBidi"/>
                <w:sz w:val="24"/>
                <w:szCs w:val="24"/>
              </w:rPr>
              <w:t>5</w:t>
            </w:r>
          </w:p>
        </w:tc>
        <w:tc>
          <w:tcPr>
            <w:tcW w:w="2043" w:type="dxa"/>
          </w:tcPr>
          <w:p w14:paraId="6A09BCAD" w14:textId="77777777" w:rsidR="00094C60" w:rsidRPr="005E40C2" w:rsidRDefault="00207218" w:rsidP="00E07CE5">
            <w:pPr>
              <w:pStyle w:val="ListParagraph"/>
              <w:spacing w:line="360" w:lineRule="auto"/>
              <w:ind w:left="426"/>
              <w:jc w:val="both"/>
              <w:rPr>
                <w:rFonts w:ascii="Garamond" w:hAnsi="Garamond" w:cstheme="majorBidi"/>
                <w:sz w:val="24"/>
                <w:szCs w:val="24"/>
              </w:rPr>
            </w:pPr>
            <w:r>
              <w:rPr>
                <w:rFonts w:ascii="Garamond" w:hAnsi="Garamond" w:cstheme="majorBidi"/>
                <w:sz w:val="24"/>
                <w:szCs w:val="24"/>
                <w:lang w:val="en-US"/>
              </w:rPr>
              <w:t xml:space="preserve">   </w:t>
            </w:r>
            <w:r w:rsidRPr="0018529D">
              <w:rPr>
                <w:rFonts w:ascii="Garamond" w:hAnsi="Garamond" w:cstheme="majorBidi"/>
                <w:sz w:val="24"/>
                <w:szCs w:val="24"/>
              </w:rPr>
              <w:t>Loss</w:t>
            </w:r>
          </w:p>
        </w:tc>
        <w:tc>
          <w:tcPr>
            <w:tcW w:w="4325" w:type="dxa"/>
          </w:tcPr>
          <w:p w14:paraId="129830A9" w14:textId="77777777" w:rsidR="00094C60" w:rsidRPr="00BC2963" w:rsidRDefault="00207218" w:rsidP="00E07CE5">
            <w:pPr>
              <w:spacing w:line="360" w:lineRule="auto"/>
              <w:jc w:val="both"/>
              <w:rPr>
                <w:rFonts w:ascii="Garamond" w:hAnsi="Garamond" w:cstheme="majorBidi"/>
                <w:sz w:val="24"/>
                <w:szCs w:val="24"/>
              </w:rPr>
            </w:pPr>
            <w:r w:rsidRPr="00BC2963">
              <w:rPr>
                <w:rFonts w:ascii="Garamond" w:hAnsi="Garamond"/>
                <w:color w:val="000000"/>
                <w:sz w:val="24"/>
                <w:szCs w:val="24"/>
              </w:rPr>
              <w:t>The arrears of principal or margin payments have lasted more than 180 days.</w:t>
            </w:r>
          </w:p>
        </w:tc>
      </w:tr>
    </w:tbl>
    <w:p w14:paraId="2B50F865" w14:textId="39CDA756" w:rsidR="000F463D" w:rsidRPr="000F463D" w:rsidRDefault="000F463D" w:rsidP="000F463D">
      <w:pPr>
        <w:spacing w:before="120" w:after="120" w:line="240" w:lineRule="auto"/>
        <w:jc w:val="center"/>
        <w:rPr>
          <w:rFonts w:ascii="Garamond" w:hAnsi="Garamond" w:cstheme="majorBidi"/>
          <w:bCs/>
          <w:i/>
          <w:iCs/>
          <w:sz w:val="20"/>
          <w:szCs w:val="20"/>
        </w:rPr>
      </w:pPr>
      <w:r>
        <w:rPr>
          <w:rFonts w:ascii="Garamond" w:hAnsi="Garamond" w:cstheme="majorBidi"/>
          <w:bCs/>
          <w:i/>
          <w:iCs/>
          <w:sz w:val="20"/>
          <w:szCs w:val="20"/>
        </w:rPr>
        <w:t>Source: BI Circular Letter, 2005</w:t>
      </w:r>
    </w:p>
    <w:p w14:paraId="500C6A38" w14:textId="7B0828AF" w:rsidR="00EB3324" w:rsidRPr="003D46D6" w:rsidRDefault="00207218" w:rsidP="000F463D">
      <w:pPr>
        <w:tabs>
          <w:tab w:val="left" w:pos="7920"/>
        </w:tabs>
        <w:spacing w:before="120" w:after="120" w:line="276" w:lineRule="auto"/>
        <w:jc w:val="both"/>
        <w:rPr>
          <w:rFonts w:ascii="Garamond" w:hAnsi="Garamond"/>
          <w:b/>
          <w:sz w:val="24"/>
          <w:szCs w:val="24"/>
        </w:rPr>
      </w:pPr>
      <w:r>
        <w:rPr>
          <w:rFonts w:ascii="Garamond" w:hAnsi="Garamond"/>
          <w:b/>
          <w:sz w:val="24"/>
          <w:szCs w:val="24"/>
        </w:rPr>
        <w:t>Non Performing Financing Solutions</w:t>
      </w:r>
    </w:p>
    <w:p w14:paraId="0753C3DC" w14:textId="034F29EE" w:rsidR="00C23D0F" w:rsidRPr="003D46D6" w:rsidRDefault="00207218" w:rsidP="00647163">
      <w:pPr>
        <w:tabs>
          <w:tab w:val="left" w:pos="7920"/>
        </w:tabs>
        <w:spacing w:after="0" w:line="276" w:lineRule="auto"/>
        <w:ind w:firstLine="567"/>
        <w:contextualSpacing/>
        <w:jc w:val="both"/>
        <w:rPr>
          <w:rFonts w:ascii="Garamond" w:hAnsi="Garamond"/>
          <w:b/>
          <w:sz w:val="24"/>
          <w:szCs w:val="24"/>
        </w:rPr>
      </w:pPr>
      <w:r w:rsidRPr="00BC2963">
        <w:rPr>
          <w:rFonts w:ascii="Garamond" w:hAnsi="Garamond" w:cstheme="majorBidi"/>
          <w:sz w:val="24"/>
          <w:szCs w:val="24"/>
        </w:rPr>
        <w:t xml:space="preserve">Non-litigation financing can be resolved through 2 channels, namely Non-Litigation and Litigation. The Non-Litigation route refers to the settlement of cases in person and outside of court while maintaining the confidentiality of the parties involved. The out-of-court settlement process for this case avoids delays caused by procedural and administrative issues such as open trials and provides </w:t>
      </w:r>
      <w:r w:rsidR="007069D4">
        <w:rPr>
          <w:rFonts w:ascii="Garamond" w:hAnsi="Garamond" w:cstheme="majorBidi"/>
          <w:sz w:val="24"/>
          <w:szCs w:val="24"/>
        </w:rPr>
        <w:t>a mutually beneficial solution</w:t>
      </w:r>
      <w:r w:rsidR="00EB3324" w:rsidRPr="003D46D6">
        <w:rPr>
          <w:rFonts w:ascii="Garamond" w:hAnsi="Garamond"/>
          <w:sz w:val="24"/>
          <w:szCs w:val="24"/>
        </w:rPr>
        <w:t xml:space="preserve"> </w:t>
      </w:r>
      <w:r w:rsidR="00EB3324" w:rsidRPr="003D46D6">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{"citationItems":[{"id":"ITEM-1","itemData":{"abstract":"Praktek penerapan Good Corporate Governance adalah salah satu langkah sangat penting dalam meningkatkan dan memaksimalkan suatu nilai perusahaan itu sendiri, mendorong pengelolaan perusahaan yang professional, transparan dan efisien.","author":[{"dropping-particle":"","family":"Andrianto","given":"","non-dropping-particle":"","parse-names":false,"suffix":""},{"dropping-particle":"","family":"Firmansyah","given":"M. Anang","non-dropping-particle":"","parse-names":false,"suffix":""}],"container-title":"CV. Penerbit Qiara Media","id":"ITEM-1","issued":{"date-parts":[["2019"]]},"page":"536","title":"Manajemen Bank Syariah ( Implementasi Teori dan Praktek )","type":"article-journal"},"uris":["http://www.mendeley.com/documents/?uuid=57b25780-bedd-436e-98c5-015465736c1a","http://www.mendeley.com/documents/?uuid=fb2d701d-ee1b-461a-8f95-f89b350ff92c"]}],"mendeley":{"formattedCitation":"(Andrianto and Firmansyah 2019)","plainTextFormattedCitation":"(Andrianto and Firmansyah 2019)","previouslyFormattedCitation":"(Andrianto and Firmansyah 2019)"},"properties":{"noteIndex":0},"schema":"https://github.com/citation-style-language/schema/raw/master/csl-citation.json"}</w:instrText>
      </w:r>
      <w:r w:rsidR="00EB3324" w:rsidRPr="003D46D6">
        <w:rPr>
          <w:rFonts w:ascii="Garamond" w:hAnsi="Garamond" w:cs="Times New Roman"/>
          <w:sz w:val="24"/>
          <w:szCs w:val="24"/>
        </w:rPr>
        <w:fldChar w:fldCharType="separate"/>
      </w:r>
      <w:r w:rsidR="0090100A" w:rsidRPr="0090100A">
        <w:rPr>
          <w:rFonts w:ascii="Garamond" w:hAnsi="Garamond" w:cs="Times New Roman"/>
          <w:noProof/>
          <w:sz w:val="24"/>
          <w:szCs w:val="24"/>
        </w:rPr>
        <w:t>(Andrianto and Firmansyah 2019)</w:t>
      </w:r>
      <w:r w:rsidR="00EB3324" w:rsidRPr="003D46D6">
        <w:rPr>
          <w:rFonts w:ascii="Garamond" w:hAnsi="Garamond" w:cs="Times New Roman"/>
          <w:sz w:val="24"/>
          <w:szCs w:val="24"/>
        </w:rPr>
        <w:fldChar w:fldCharType="end"/>
      </w:r>
      <w:r w:rsidR="00EB3324" w:rsidRPr="003D46D6">
        <w:rPr>
          <w:rFonts w:ascii="Garamond" w:hAnsi="Garamond"/>
          <w:sz w:val="24"/>
          <w:szCs w:val="24"/>
        </w:rPr>
        <w:t>.</w:t>
      </w:r>
      <w:r w:rsidRPr="003D46D6">
        <w:rPr>
          <w:rFonts w:ascii="Garamond" w:hAnsi="Garamond" w:cstheme="majorBidi"/>
          <w:sz w:val="24"/>
          <w:szCs w:val="24"/>
        </w:rPr>
        <w:t xml:space="preserve"> </w:t>
      </w:r>
      <w:r w:rsidR="007069D4" w:rsidRPr="007069D4">
        <w:rPr>
          <w:rFonts w:ascii="Garamond" w:hAnsi="Garamond" w:cstheme="majorBidi"/>
          <w:sz w:val="24"/>
          <w:szCs w:val="24"/>
        </w:rPr>
        <w:t>The patterns of financing settlement through relaxation according to POJK Number 30/POJK.05/2021 are as follows</w:t>
      </w:r>
      <w:r w:rsidRPr="003D46D6">
        <w:rPr>
          <w:rFonts w:ascii="Garamond" w:hAnsi="Garamond" w:cstheme="majorBidi"/>
          <w:sz w:val="24"/>
          <w:szCs w:val="24"/>
        </w:rPr>
        <w:t>:</w:t>
      </w:r>
    </w:p>
    <w:p w14:paraId="338D7669" w14:textId="77777777" w:rsidR="00C23D0F" w:rsidRPr="003D46D6" w:rsidRDefault="00207218" w:rsidP="00647163">
      <w:pPr>
        <w:pStyle w:val="ListParagraph"/>
        <w:numPr>
          <w:ilvl w:val="0"/>
          <w:numId w:val="9"/>
        </w:numPr>
        <w:spacing w:after="0" w:line="276" w:lineRule="auto"/>
        <w:ind w:left="851"/>
        <w:jc w:val="both"/>
        <w:rPr>
          <w:rFonts w:ascii="Garamond" w:hAnsi="Garamond" w:cstheme="majorBidi"/>
          <w:sz w:val="24"/>
          <w:szCs w:val="24"/>
        </w:rPr>
      </w:pPr>
      <w:r w:rsidRPr="007069D4">
        <w:rPr>
          <w:rFonts w:ascii="Garamond" w:hAnsi="Garamond" w:cstheme="majorBidi"/>
          <w:sz w:val="24"/>
          <w:szCs w:val="24"/>
        </w:rPr>
        <w:t>Rescheduling is a change in the payment schedule of customer obligations or the period.</w:t>
      </w:r>
    </w:p>
    <w:p w14:paraId="5504696B" w14:textId="2F91DE2D" w:rsidR="00C23D0F" w:rsidRPr="003D46D6" w:rsidRDefault="00207218" w:rsidP="00647163">
      <w:pPr>
        <w:pStyle w:val="ListParagraph"/>
        <w:numPr>
          <w:ilvl w:val="0"/>
          <w:numId w:val="9"/>
        </w:numPr>
        <w:spacing w:after="0" w:line="276" w:lineRule="auto"/>
        <w:ind w:left="851"/>
        <w:jc w:val="both"/>
        <w:rPr>
          <w:rFonts w:ascii="Garamond" w:hAnsi="Garamond" w:cstheme="majorBidi"/>
          <w:sz w:val="24"/>
          <w:szCs w:val="24"/>
          <w:lang w:val="en-US"/>
        </w:rPr>
      </w:pPr>
      <w:r w:rsidRPr="007069D4">
        <w:rPr>
          <w:rFonts w:ascii="Garamond" w:hAnsi="Garamond" w:cstheme="majorBidi"/>
          <w:sz w:val="24"/>
          <w:szCs w:val="24"/>
          <w:lang w:val="en-US"/>
        </w:rPr>
        <w:t xml:space="preserve">Reconditioning is a change in part or all of the financing requirements without adding to the remaining customer obligations that must be paid to the bank. Changes such as payment schedules, installment amounts, terms, or deductions can be made without adding to the remaining customer obligations that must be paid to the bank </w:t>
      </w:r>
      <w:r w:rsidR="008C7AA7">
        <w:rPr>
          <w:rFonts w:ascii="Garamond" w:hAnsi="Garamond" w:cstheme="majorBidi"/>
          <w:sz w:val="24"/>
          <w:szCs w:val="24"/>
          <w:lang w:val="en-US"/>
        </w:rPr>
        <w:fldChar w:fldCharType="begin" w:fldLock="1"/>
      </w:r>
      <w:r w:rsidR="00F877A8">
        <w:rPr>
          <w:rFonts w:ascii="Garamond" w:hAnsi="Garamond" w:cstheme="majorBidi"/>
          <w:sz w:val="24"/>
          <w:szCs w:val="24"/>
          <w:lang w:val="en-US"/>
        </w:rPr>
        <w:instrText>ADDIN CSL_CITATION {"citationItems":[{"id":"ITEM-1","itemData":{"author":[{"dropping-particle":"","family":"Sofiani","given":"Trianah","non-dropping-particle":"","parse-names":false,"suffix":""},{"dropping-particle":"","family":"Suhendar","given":"Heris","non-dropping-particle":"","parse-names":false,"suffix":""}],"container-title":"Hukum UNISSULA","id":"ITEM-1","issue":"1","issued":{"date-parts":[["2023"]]},"page":"61-75","title":"THE SETTLEMENT MODEL OF NON-PERFORMING FINANCING WHICH IS MORE EFFECTIVE AND LEGAL JUSTICE IN SHARIA FINANCING COMPANIES Trianah","type":"article-journal","volume":"52"},"uris":["http://www.mendeley.com/documents/?uuid=5299fdd1-8602-489b-91bc-beedb04dd1b8","http://www.mendeley.com/documents/?uuid=f35d2245-265d-400e-a94f-aaca4105dbee"]}],"mendeley":{"formattedCitation":"(Sofiani and Suhendar 2023)","plainTextFormattedCitation":"(Sofiani and Suhendar 2023)","previouslyFormattedCitation":"(Sofiani and Suhendar 2023)"},"properties":{"noteIndex":0},"schema":"https://github.com/citation-style-language/schema/raw/master/csl-citation.json"}</w:instrText>
      </w:r>
      <w:r w:rsidR="008C7AA7">
        <w:rPr>
          <w:rFonts w:ascii="Garamond" w:hAnsi="Garamond" w:cstheme="majorBidi"/>
          <w:sz w:val="24"/>
          <w:szCs w:val="24"/>
          <w:lang w:val="en-US"/>
        </w:rPr>
        <w:fldChar w:fldCharType="separate"/>
      </w:r>
      <w:r w:rsidR="0090100A" w:rsidRPr="0090100A">
        <w:rPr>
          <w:rFonts w:ascii="Garamond" w:hAnsi="Garamond" w:cstheme="majorBidi"/>
          <w:noProof/>
          <w:sz w:val="24"/>
          <w:szCs w:val="24"/>
          <w:lang w:val="en-US"/>
        </w:rPr>
        <w:t>(Sofiani and Suhendar 2023)</w:t>
      </w:r>
      <w:r w:rsidR="008C7AA7">
        <w:rPr>
          <w:rFonts w:ascii="Garamond" w:hAnsi="Garamond" w:cstheme="majorBidi"/>
          <w:sz w:val="24"/>
          <w:szCs w:val="24"/>
          <w:lang w:val="en-US"/>
        </w:rPr>
        <w:fldChar w:fldCharType="end"/>
      </w:r>
      <w:r w:rsidRPr="003D46D6">
        <w:rPr>
          <w:rFonts w:ascii="Garamond" w:hAnsi="Garamond" w:cstheme="majorBidi"/>
          <w:sz w:val="24"/>
          <w:szCs w:val="24"/>
          <w:lang w:val="en-US"/>
        </w:rPr>
        <w:t xml:space="preserve">. </w:t>
      </w:r>
    </w:p>
    <w:p w14:paraId="254D0E75" w14:textId="4DB96970" w:rsidR="002E1C7D" w:rsidRPr="002C6BE3" w:rsidRDefault="00207218" w:rsidP="00647163">
      <w:pPr>
        <w:pStyle w:val="ListParagraph"/>
        <w:numPr>
          <w:ilvl w:val="0"/>
          <w:numId w:val="9"/>
        </w:numPr>
        <w:spacing w:after="0" w:line="276" w:lineRule="auto"/>
        <w:ind w:left="851"/>
        <w:jc w:val="both"/>
        <w:rPr>
          <w:rFonts w:ascii="Garamond" w:hAnsi="Garamond" w:cstheme="majorBidi"/>
          <w:sz w:val="24"/>
          <w:szCs w:val="24"/>
          <w:lang w:val="en-US"/>
        </w:rPr>
      </w:pPr>
      <w:r w:rsidRPr="007069D4">
        <w:rPr>
          <w:rFonts w:ascii="Garamond" w:hAnsi="Garamond" w:cstheme="majorBidi"/>
          <w:sz w:val="24"/>
          <w:szCs w:val="24"/>
          <w:lang w:val="en-US"/>
        </w:rPr>
        <w:t>Restructuring, also known as restructuring, means that changes in financing requirements are not only carried out by schedule shifts or improvements. Changes in the estimated results of mudharabah or musharakah financing. Restructuring is an effort by banks to help their customers fulfill their obligations, among others, through: PBI No.13/09/PBI/2011 concerning amendments to PBI No.10/18/PBI/2008 concerning Financing Restructuring for Sharia Banks and Sharia Business Units</w:t>
      </w:r>
      <w:r w:rsidRPr="003D46D6">
        <w:rPr>
          <w:rFonts w:ascii="Garamond" w:hAnsi="Garamond" w:cstheme="majorBidi"/>
          <w:sz w:val="24"/>
          <w:szCs w:val="24"/>
          <w:lang w:val="en-US"/>
        </w:rPr>
        <w:t xml:space="preserve"> </w:t>
      </w:r>
      <w:r w:rsidRPr="003D46D6">
        <w:rPr>
          <w:rFonts w:ascii="Garamond" w:hAnsi="Garamond" w:cstheme="majorBidi"/>
          <w:sz w:val="24"/>
          <w:szCs w:val="24"/>
          <w:lang w:val="en-US"/>
        </w:rPr>
        <w:fldChar w:fldCharType="begin" w:fldLock="1"/>
      </w:r>
      <w:r w:rsidR="00F877A8">
        <w:rPr>
          <w:rFonts w:ascii="Garamond" w:hAnsi="Garamond" w:cstheme="majorBidi"/>
          <w:sz w:val="24"/>
          <w:szCs w:val="24"/>
          <w:lang w:val="en-US"/>
        </w:rPr>
        <w:instrText>ADDIN CSL_CITATION {"citationItems":[{"id":"ITEM-1","itemData":{"ISBN":"9786026903235","abstract":"… dalam kegiatan perbankan berdasarkan fatwa yang dikeluarkan oleh lembaga yang … syariah. Selain berdasarkan prinsip syariah, perbankan syariah dan lembaga keuangan syariah …","author":[{"dropping-particle":"","family":"Nurnasrina","given":"A P","non-dropping-particle":"","parse-names":false,"suffix":""},{"dropping-particle":"","family":"Putra","given":"P A","non-dropping-particle":"","parse-names":false,"suffix":""}],"container-title":"Pekanbaru: Cahaya Pirdaus","id":"ITEM-1","issued":{"date-parts":[["2018"]]},"title":"Manajemen pembiayaan bank syariah","type":"book"},"uris":["http://www.mendeley.com/documents/?uuid=99343c24-4627-4041-a3a8-877abdddfa4b","http://www.mendeley.com/documents/?uuid=9e794693-5581-4071-8cf5-f857925af33c"]}],"mendeley":{"formattedCitation":"(Nurnasrina and Putra 2018)","plainTextFormattedCitation":"(Nurnasrina and Putra 2018)","previouslyFormattedCitation":"(Nurnasrina and Putra 2018)"},"properties":{"noteIndex":0},"schema":"https://github.com/citation-style-language/schema/raw/master/csl-citation.json"}</w:instrText>
      </w:r>
      <w:r w:rsidRPr="003D46D6">
        <w:rPr>
          <w:rFonts w:ascii="Garamond" w:hAnsi="Garamond" w:cstheme="majorBidi"/>
          <w:sz w:val="24"/>
          <w:szCs w:val="24"/>
          <w:lang w:val="en-US"/>
        </w:rPr>
        <w:fldChar w:fldCharType="separate"/>
      </w:r>
      <w:r w:rsidR="0090100A" w:rsidRPr="0090100A">
        <w:rPr>
          <w:rFonts w:ascii="Garamond" w:hAnsi="Garamond" w:cstheme="majorBidi"/>
          <w:noProof/>
          <w:sz w:val="24"/>
          <w:szCs w:val="24"/>
          <w:lang w:val="en-US"/>
        </w:rPr>
        <w:t xml:space="preserve">(Nurnasrina and </w:t>
      </w:r>
      <w:r w:rsidR="0090100A" w:rsidRPr="0090100A">
        <w:rPr>
          <w:rFonts w:ascii="Garamond" w:hAnsi="Garamond" w:cstheme="majorBidi"/>
          <w:noProof/>
          <w:sz w:val="24"/>
          <w:szCs w:val="24"/>
          <w:lang w:val="en-US"/>
        </w:rPr>
        <w:lastRenderedPageBreak/>
        <w:t>Putra 2018)</w:t>
      </w:r>
      <w:r w:rsidRPr="003D46D6">
        <w:rPr>
          <w:rFonts w:ascii="Garamond" w:hAnsi="Garamond" w:cstheme="majorBidi"/>
          <w:sz w:val="24"/>
          <w:szCs w:val="24"/>
          <w:lang w:val="en-US"/>
        </w:rPr>
        <w:fldChar w:fldCharType="end"/>
      </w:r>
      <w:r w:rsidRPr="003D46D6">
        <w:rPr>
          <w:rFonts w:ascii="Garamond" w:hAnsi="Garamond" w:cstheme="majorBidi"/>
          <w:sz w:val="24"/>
          <w:szCs w:val="24"/>
          <w:lang w:val="en-US"/>
        </w:rPr>
        <w:t>.</w:t>
      </w:r>
      <w:r w:rsidR="002C6BE3">
        <w:rPr>
          <w:rFonts w:ascii="Garamond" w:hAnsi="Garamond" w:cstheme="majorBidi"/>
          <w:sz w:val="24"/>
          <w:szCs w:val="24"/>
          <w:lang w:val="en-US"/>
        </w:rPr>
        <w:t xml:space="preserve"> </w:t>
      </w:r>
      <w:r w:rsidR="002E435E" w:rsidRPr="002C6BE3">
        <w:rPr>
          <w:rFonts w:ascii="Garamond" w:hAnsi="Garamond" w:cstheme="majorBidi"/>
          <w:sz w:val="24"/>
          <w:szCs w:val="24"/>
        </w:rPr>
        <w:t xml:space="preserve">Implementation of restructuring policies through interest rate reductions or margins (profits), financing tenor rescheduling policies, reduction of loan principal arrears or financing, reduction of interest or margin arrears (profits), additional financing facilities and conversion of financing into temporary capital participation. After the COVID-19 pandemic and after the validity period of the Financial Services Authority's policy expired, the problem of Non-Performing Financing (NPF) continued </w:t>
      </w:r>
      <w:r w:rsidR="002E435E" w:rsidRPr="002C6BE3">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Sofiani","given":"Trianah","non-dropping-particle":"","parse-names":false,"suffix":""},{"dropping-particle":"","family":"Suhendar","given":"Heris","non-dropping-particle":"","parse-names":false,"suffix":""}],"container-title":"Hukum UNISSULA","id":"ITEM-1","issue":"1","issued":{"date-parts":[["2023"]]},"page":"61-75","title":"THE SETTLEMENT MODEL OF NON-PERFORMING FINANCING WHICH IS MORE EFFECTIVE AND LEGAL JUSTICE IN SHARIA FINANCING COMPANIES Trianah","type":"article-journal","volume":"52"},"uris":["http://www.mendeley.com/documents/?uuid=f35d2245-265d-400e-a94f-aaca4105dbee","http://www.mendeley.com/documents/?uuid=5299fdd1-8602-489b-91bc-beedb04dd1b8"]}],"mendeley":{"formattedCitation":"(Sofiani and Suhendar 2023)","plainTextFormattedCitation":"(Sofiani and Suhendar 2023)","previouslyFormattedCitation":"(Sofiani and Suhendar 2023)"},"properties":{"noteIndex":0},"schema":"https://github.com/citation-style-language/schema/raw/master/csl-citation.json"}</w:instrText>
      </w:r>
      <w:r w:rsidR="002E435E" w:rsidRPr="002C6BE3">
        <w:rPr>
          <w:rFonts w:ascii="Garamond" w:hAnsi="Garamond" w:cstheme="majorBidi"/>
          <w:sz w:val="24"/>
          <w:szCs w:val="24"/>
        </w:rPr>
        <w:fldChar w:fldCharType="separate"/>
      </w:r>
      <w:r w:rsidR="002E435E" w:rsidRPr="002C6BE3">
        <w:rPr>
          <w:rFonts w:ascii="Garamond" w:hAnsi="Garamond" w:cstheme="majorBidi"/>
          <w:noProof/>
          <w:sz w:val="24"/>
          <w:szCs w:val="24"/>
        </w:rPr>
        <w:t>(Sofiani and Suhendar 2023)</w:t>
      </w:r>
      <w:r w:rsidR="002E435E" w:rsidRPr="002C6BE3">
        <w:rPr>
          <w:rFonts w:ascii="Garamond" w:hAnsi="Garamond" w:cstheme="majorBidi"/>
          <w:sz w:val="24"/>
          <w:szCs w:val="24"/>
        </w:rPr>
        <w:fldChar w:fldCharType="end"/>
      </w:r>
      <w:r w:rsidR="002E435E" w:rsidRPr="002C6BE3">
        <w:rPr>
          <w:rFonts w:ascii="Garamond" w:hAnsi="Garamond" w:cstheme="majorBidi"/>
          <w:sz w:val="24"/>
          <w:szCs w:val="24"/>
        </w:rPr>
        <w:t xml:space="preserve">. </w:t>
      </w:r>
    </w:p>
    <w:p w14:paraId="18305727" w14:textId="7D7E40F5" w:rsidR="007069D4" w:rsidRDefault="00207218" w:rsidP="00647163">
      <w:pPr>
        <w:pStyle w:val="ListParagraph"/>
        <w:spacing w:after="0" w:line="276" w:lineRule="auto"/>
        <w:ind w:left="0" w:firstLine="567"/>
        <w:jc w:val="both"/>
        <w:rPr>
          <w:rFonts w:ascii="Garamond" w:hAnsi="Garamond" w:cstheme="majorBidi"/>
          <w:sz w:val="24"/>
          <w:szCs w:val="24"/>
          <w:lang w:val="en-US"/>
        </w:rPr>
      </w:pPr>
      <w:r w:rsidRPr="007069D4">
        <w:rPr>
          <w:rFonts w:ascii="Garamond" w:hAnsi="Garamond" w:cstheme="majorBidi"/>
          <w:sz w:val="24"/>
          <w:szCs w:val="24"/>
          <w:lang w:val="en-US"/>
        </w:rPr>
        <w:t xml:space="preserve">Settlement of non-performing loans/financing through litigation can be done by obtaining loan collateral, recovering loans from guarantors, obtaining loan collateral through banks, voluntarily surrendering collateral, or filing a civil lawsuit to request loan repayment from the debtor. Completing financing through legal channels is the last option available to banks or debtors if financing is problematic or financing is bad </w:t>
      </w:r>
      <w:r w:rsidR="003D46D6" w:rsidRPr="003D46D6">
        <w:rPr>
          <w:rFonts w:ascii="Garamond" w:hAnsi="Garamond" w:cstheme="majorBidi"/>
          <w:sz w:val="24"/>
          <w:szCs w:val="24"/>
          <w:lang w:val="en-US"/>
        </w:rPr>
        <w:t xml:space="preserve"> </w:t>
      </w:r>
      <w:r w:rsidR="003D46D6" w:rsidRPr="003D46D6">
        <w:rPr>
          <w:rFonts w:ascii="Garamond" w:hAnsi="Garamond" w:cstheme="majorBidi"/>
          <w:sz w:val="24"/>
          <w:szCs w:val="24"/>
          <w:lang w:val="en-US"/>
        </w:rPr>
        <w:fldChar w:fldCharType="begin" w:fldLock="1"/>
      </w:r>
      <w:r w:rsidR="00F877A8">
        <w:rPr>
          <w:rFonts w:ascii="Garamond" w:hAnsi="Garamond" w:cstheme="majorBidi"/>
          <w:sz w:val="24"/>
          <w:szCs w:val="24"/>
          <w:lang w:val="en-US"/>
        </w:rPr>
        <w:instrText>ADDIN CSL_CITATION {"citationItems":[{"id":"ITEM-1","itemData":{"author":[{"dropping-particle":"","family":"Asiyah","given":"Binti nur","non-dropping-particle":"","parse-names":false,"suffix":""}],"id":"ITEM-1","issued":{"date-parts":[["2019"]]},"title":"Buku Pembiayaan.Pdf","type":"article"},"uris":["http://www.mendeley.com/documents/?uuid=aeec30db-0d67-4b64-a706-696f9e30c495","http://www.mendeley.com/documents/?uuid=9d573384-f630-46ba-938b-660d01e6f7bd"]}],"mendeley":{"formattedCitation":"(Asiyah 2019)","plainTextFormattedCitation":"(Asiyah 2019)","previouslyFormattedCitation":"(Asiyah 2019)"},"properties":{"noteIndex":0},"schema":"https://github.com/citation-style-language/schema/raw/master/csl-citation.json"}</w:instrText>
      </w:r>
      <w:r w:rsidR="003D46D6" w:rsidRPr="003D46D6">
        <w:rPr>
          <w:rFonts w:ascii="Garamond" w:hAnsi="Garamond" w:cstheme="majorBidi"/>
          <w:sz w:val="24"/>
          <w:szCs w:val="24"/>
          <w:lang w:val="en-US"/>
        </w:rPr>
        <w:fldChar w:fldCharType="separate"/>
      </w:r>
      <w:r w:rsidR="0090100A" w:rsidRPr="0090100A">
        <w:rPr>
          <w:rFonts w:ascii="Garamond" w:hAnsi="Garamond" w:cstheme="majorBidi"/>
          <w:noProof/>
          <w:sz w:val="24"/>
          <w:szCs w:val="24"/>
          <w:lang w:val="en-US"/>
        </w:rPr>
        <w:t>(Asiyah 2019)</w:t>
      </w:r>
      <w:r w:rsidR="003D46D6" w:rsidRPr="003D46D6">
        <w:rPr>
          <w:rFonts w:ascii="Garamond" w:hAnsi="Garamond" w:cstheme="majorBidi"/>
          <w:sz w:val="24"/>
          <w:szCs w:val="24"/>
          <w:lang w:val="en-US"/>
        </w:rPr>
        <w:fldChar w:fldCharType="end"/>
      </w:r>
      <w:r w:rsidR="003D46D6" w:rsidRPr="003D46D6">
        <w:rPr>
          <w:rFonts w:ascii="Garamond" w:hAnsi="Garamond" w:cstheme="majorBidi"/>
          <w:sz w:val="24"/>
          <w:szCs w:val="24"/>
          <w:lang w:val="en-US"/>
        </w:rPr>
        <w:t>.</w:t>
      </w:r>
      <w:r w:rsidR="00C23D0F" w:rsidRPr="003D46D6">
        <w:rPr>
          <w:rFonts w:ascii="Garamond" w:hAnsi="Garamond" w:cstheme="majorBidi"/>
          <w:sz w:val="24"/>
          <w:szCs w:val="24"/>
          <w:lang w:val="en-US"/>
        </w:rPr>
        <w:t xml:space="preserve"> </w:t>
      </w:r>
      <w:r w:rsidRPr="007069D4">
        <w:rPr>
          <w:rFonts w:ascii="Garamond" w:hAnsi="Garamond" w:cstheme="majorBidi"/>
          <w:sz w:val="24"/>
          <w:szCs w:val="24"/>
          <w:lang w:val="en-US"/>
        </w:rPr>
        <w:t>Credit settlement according to legal procedures can be done through:</w:t>
      </w:r>
    </w:p>
    <w:p w14:paraId="118C32EF" w14:textId="77777777" w:rsidR="007069D4" w:rsidRDefault="00207218" w:rsidP="00DA3604">
      <w:pPr>
        <w:pStyle w:val="ListParagraph"/>
        <w:numPr>
          <w:ilvl w:val="0"/>
          <w:numId w:val="10"/>
        </w:numPr>
        <w:spacing w:after="0" w:line="276" w:lineRule="auto"/>
        <w:ind w:left="851"/>
        <w:jc w:val="both"/>
        <w:rPr>
          <w:rFonts w:ascii="Garamond" w:hAnsi="Garamond" w:cstheme="majorBidi"/>
          <w:sz w:val="24"/>
          <w:szCs w:val="24"/>
        </w:rPr>
      </w:pPr>
      <w:r w:rsidRPr="007069D4">
        <w:rPr>
          <w:rFonts w:ascii="Garamond" w:hAnsi="Garamond" w:cstheme="majorBidi"/>
          <w:sz w:val="24"/>
          <w:szCs w:val="24"/>
        </w:rPr>
        <w:t>Settlement of financing by the district court</w:t>
      </w:r>
    </w:p>
    <w:p w14:paraId="4A8AC467" w14:textId="77777777" w:rsidR="007069D4" w:rsidRPr="007069D4" w:rsidRDefault="00207218" w:rsidP="00DA3604">
      <w:pPr>
        <w:pStyle w:val="ListParagraph"/>
        <w:numPr>
          <w:ilvl w:val="0"/>
          <w:numId w:val="10"/>
        </w:numPr>
        <w:spacing w:after="0" w:line="276" w:lineRule="auto"/>
        <w:ind w:left="851"/>
        <w:jc w:val="both"/>
        <w:rPr>
          <w:rFonts w:ascii="Garamond" w:hAnsi="Garamond" w:cstheme="majorBidi"/>
          <w:sz w:val="24"/>
          <w:szCs w:val="24"/>
        </w:rPr>
      </w:pPr>
      <w:r w:rsidRPr="007069D4">
        <w:rPr>
          <w:rFonts w:ascii="Garamond" w:hAnsi="Garamond" w:cstheme="majorBidi"/>
          <w:sz w:val="24"/>
          <w:szCs w:val="24"/>
          <w:lang w:val="en-US"/>
        </w:rPr>
        <w:t>Settlement of financing by commercial courts</w:t>
      </w:r>
    </w:p>
    <w:p w14:paraId="489D8B7E" w14:textId="77777777" w:rsidR="00A214D9" w:rsidRDefault="00207218" w:rsidP="00647163">
      <w:pPr>
        <w:pStyle w:val="ListParagraph"/>
        <w:spacing w:after="0" w:line="276" w:lineRule="auto"/>
        <w:ind w:left="0" w:firstLine="567"/>
        <w:jc w:val="both"/>
        <w:rPr>
          <w:rFonts w:ascii="Garamond" w:hAnsi="Garamond" w:cstheme="majorBidi"/>
          <w:sz w:val="24"/>
          <w:szCs w:val="24"/>
        </w:rPr>
      </w:pPr>
      <w:r w:rsidRPr="00707925">
        <w:rPr>
          <w:rFonts w:ascii="Garamond" w:hAnsi="Garamond" w:cstheme="majorBidi"/>
          <w:sz w:val="24"/>
          <w:szCs w:val="24"/>
        </w:rPr>
        <w:t>This litigation route requires a large cost and a relatively long time because the process starting from filing a lawsuit to receiving the judge's decision is very long. And sometimes, disgruntled contestants in court file legal remedies ranging from appeals, annulments, and reconsiderations. However, this procedural path is a reference for legitimate decisions.</w:t>
      </w:r>
    </w:p>
    <w:p w14:paraId="5EFD4613" w14:textId="77777777" w:rsidR="00A3152C" w:rsidRPr="00A214D9" w:rsidRDefault="00207218" w:rsidP="00A214D9">
      <w:pPr>
        <w:spacing w:after="0" w:line="276" w:lineRule="auto"/>
        <w:jc w:val="both"/>
        <w:rPr>
          <w:rFonts w:ascii="Garamond" w:hAnsi="Garamond" w:cstheme="majorBidi"/>
          <w:sz w:val="24"/>
          <w:szCs w:val="24"/>
        </w:rPr>
      </w:pPr>
      <w:r w:rsidRPr="00A214D9">
        <w:rPr>
          <w:rFonts w:ascii="Garamond" w:hAnsi="Garamond"/>
          <w:b/>
          <w:sz w:val="24"/>
          <w:szCs w:val="24"/>
        </w:rPr>
        <w:t>Small Claim Court</w:t>
      </w:r>
    </w:p>
    <w:p w14:paraId="5493CAF0" w14:textId="064798D2" w:rsidR="00DA3604" w:rsidRDefault="00207218" w:rsidP="00DA3604">
      <w:pPr>
        <w:spacing w:after="0" w:line="276" w:lineRule="auto"/>
        <w:ind w:firstLine="567"/>
        <w:contextualSpacing/>
        <w:jc w:val="both"/>
        <w:rPr>
          <w:rFonts w:ascii="Garamond" w:hAnsi="Garamond" w:cstheme="majorBidi"/>
          <w:sz w:val="24"/>
          <w:szCs w:val="24"/>
        </w:rPr>
      </w:pPr>
      <w:r w:rsidRPr="00707925">
        <w:rPr>
          <w:rFonts w:ascii="Garamond" w:hAnsi="Garamond" w:cstheme="majorBidi"/>
          <w:sz w:val="24"/>
          <w:szCs w:val="24"/>
        </w:rPr>
        <w:t>Civil procedure law, which is formal civil law, regulates how the material civil law is applied after a particular violation has occurred. The District Court is a court of first instance to examine, decide, and resolve criminal and civil cases. The District Court is a judicial body under the Supreme Court that has the authority to examine, adjudicate, and resolve criminal and civil cases. Civil law is private law that protects the interests of individuals. A civil case is a dispute over the relationship between one legal subject and another regarding rights and obligations, orders, and prohibitions in the civil domain. For example, default, violation of the law, and so on</w:t>
      </w:r>
      <w:r>
        <w:rPr>
          <w:rFonts w:ascii="Garamond" w:hAnsi="Garamond" w:cstheme="majorBidi"/>
          <w:sz w:val="24"/>
          <w:szCs w:val="24"/>
        </w:rPr>
        <w:t xml:space="preserve"> </w:t>
      </w:r>
      <w:r>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{"citationItems":[{"id":"ITEM-1","itemData":{"author":[{"dropping-particle":"","family":"Pati","given":"Umi Khaerah","non-dropping-particle":"","parse-names":false,"suffix":""},{"dropping-particle":"","family":"Tejomurti","given":"Kukuh","non-dropping-particle":"","parse-names":false,"suffix":""},{"dropping-particle":"","family":"Pujiyono","given":"","non-dropping-particle":"","parse-names":false,"suffix":""},{"dropping-particle":"","family":"Pranoto","given":"","non-dropping-particle":"","parse-names":false,"suffix":""}],"container-title":"UUM Journal of Legal Studies","id":"ITEM-1","issue":"1","issued":{"date-parts":[["2024"]]},"page":"97-120","title":"THE SMALL CLAIM COURTS DURING COVID-19: ANALYSIS OF INDONESIA BANKS' CLAIMS ON BAD CREDIT","type":"article-journal","volume":"1"},"uris":["http://www.mendeley.com/documents/?uuid=822fbcc7-dd2e-4237-840c-fa634a30dc5b","http://www.mendeley.com/documents/?uuid=813e2c7b-3955-4523-8ea6-abac0009d720"]}],"mendeley":{"formattedCitation":"(Pati et al. 2024)","plainTextFormattedCitation":"(Pati et al. 2024)","previouslyFormattedCitation":"(Pati et al. 2024)"},"properties":{"noteIndex":0},"schema":"https://github.com/citation-style-language/schema/raw/master/csl-citation.json"}</w:instrText>
      </w:r>
      <w:r>
        <w:rPr>
          <w:rFonts w:ascii="Garamond" w:hAnsi="Garamond" w:cstheme="majorBidi"/>
          <w:sz w:val="24"/>
          <w:szCs w:val="24"/>
        </w:rPr>
        <w:fldChar w:fldCharType="separate"/>
      </w:r>
      <w:r w:rsidR="0090100A" w:rsidRPr="0090100A">
        <w:rPr>
          <w:rFonts w:ascii="Garamond" w:hAnsi="Garamond" w:cstheme="majorBidi"/>
          <w:noProof/>
          <w:sz w:val="24"/>
          <w:szCs w:val="24"/>
        </w:rPr>
        <w:t>(Pati et al. 2024)</w:t>
      </w:r>
      <w:r>
        <w:rPr>
          <w:rFonts w:ascii="Garamond" w:hAnsi="Garamond" w:cstheme="majorBidi"/>
          <w:sz w:val="24"/>
          <w:szCs w:val="24"/>
        </w:rPr>
        <w:fldChar w:fldCharType="end"/>
      </w:r>
      <w:r w:rsidRPr="003D46D6">
        <w:rPr>
          <w:rFonts w:ascii="Garamond" w:hAnsi="Garamond" w:cstheme="majorBidi"/>
          <w:sz w:val="24"/>
          <w:szCs w:val="24"/>
        </w:rPr>
        <w:t xml:space="preserve">. </w:t>
      </w:r>
      <w:r>
        <w:rPr>
          <w:rFonts w:ascii="Garamond" w:hAnsi="Garamond" w:cstheme="majorBidi"/>
          <w:sz w:val="24"/>
          <w:szCs w:val="24"/>
        </w:rPr>
        <w:t xml:space="preserve"> </w:t>
      </w:r>
      <w:r w:rsidRPr="00707925">
        <w:rPr>
          <w:rFonts w:ascii="Garamond" w:hAnsi="Garamond" w:cstheme="majorBidi"/>
          <w:sz w:val="24"/>
          <w:szCs w:val="24"/>
        </w:rPr>
        <w:t>About default, Article 1243 of the Civil Code and unlawful acts are guided by civil lawsuits. To resolve a case, the judge in the court is responsible for examining and adjudicating fairly both parties in a hearing that is open to the public by the applicable laws and regulations (formal law) in this case the civil procedure law (HIR or Herziene Indonesisch Reglement) guided by the Civil Code</w:t>
      </w:r>
      <w:r>
        <w:rPr>
          <w:rFonts w:ascii="Garamond" w:hAnsi="Garamond" w:cstheme="majorBidi"/>
          <w:sz w:val="24"/>
          <w:szCs w:val="24"/>
        </w:rPr>
        <w:t xml:space="preserve"> </w:t>
      </w:r>
      <w:r>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{"citationItems":[{"id":"ITEM-1","itemData":{"author":[{"dropping-particle":"","family":"Hadi","given":"Abd","non-dropping-particle":"","parse-names":false,"suffix":""}],"id":"ITEM-1","issued":{"date-parts":[["2023"]]},"page":"211-234","title":"Ratio Legis of Combining Illegal Acts with Default in Small Claim Court Cases","type":"article-journal"},"uris":["http://www.mendeley.com/documents/?uuid=16bc3585-3d07-48c6-bc42-eb7e650a4a4f","http://www.mendeley.com/documents/?uuid=6b37d42f-d352-465b-b4fb-fcd914f1ac06"]}],"mendeley":{"formattedCitation":"(Hadi 2023)","plainTextFormattedCitation":"(Hadi 2023)","previouslyFormattedCitation":"(Hadi 2023)"},"properties":{"noteIndex":0},"schema":"https://github.com/citation-style-language/schema/raw/master/csl-citation.json"}</w:instrText>
      </w:r>
      <w:r>
        <w:rPr>
          <w:rFonts w:ascii="Garamond" w:hAnsi="Garamond" w:cstheme="majorBidi"/>
          <w:sz w:val="24"/>
          <w:szCs w:val="24"/>
        </w:rPr>
        <w:fldChar w:fldCharType="separate"/>
      </w:r>
      <w:r w:rsidR="0090100A" w:rsidRPr="0090100A">
        <w:rPr>
          <w:rFonts w:ascii="Garamond" w:hAnsi="Garamond" w:cstheme="majorBidi"/>
          <w:noProof/>
          <w:sz w:val="24"/>
          <w:szCs w:val="24"/>
        </w:rPr>
        <w:t>(Hadi 2023)</w:t>
      </w:r>
      <w:r>
        <w:rPr>
          <w:rFonts w:ascii="Garamond" w:hAnsi="Garamond" w:cstheme="majorBidi"/>
          <w:sz w:val="24"/>
          <w:szCs w:val="24"/>
        </w:rPr>
        <w:fldChar w:fldCharType="end"/>
      </w:r>
      <w:r w:rsidRPr="003D46D6">
        <w:rPr>
          <w:rFonts w:ascii="Garamond" w:hAnsi="Garamond" w:cstheme="majorBidi"/>
          <w:sz w:val="24"/>
          <w:szCs w:val="24"/>
        </w:rPr>
        <w:t xml:space="preserve">. </w:t>
      </w:r>
    </w:p>
    <w:p w14:paraId="59AD3242" w14:textId="3C8E60A5" w:rsidR="00DA3604" w:rsidRDefault="00207218" w:rsidP="00DA3604">
      <w:pPr>
        <w:spacing w:after="0" w:line="276" w:lineRule="auto"/>
        <w:ind w:firstLine="567"/>
        <w:contextualSpacing/>
        <w:jc w:val="both"/>
        <w:rPr>
          <w:rFonts w:ascii="Garamond" w:hAnsi="Garamond" w:cstheme="majorBidi"/>
          <w:sz w:val="24"/>
          <w:szCs w:val="24"/>
        </w:rPr>
      </w:pPr>
      <w:r w:rsidRPr="00707925">
        <w:rPr>
          <w:rFonts w:ascii="Garamond" w:hAnsi="Garamond" w:cstheme="majorBidi"/>
          <w:sz w:val="24"/>
          <w:szCs w:val="24"/>
        </w:rPr>
        <w:t xml:space="preserve">Based on Article 2 Paragraph 4 and Article 4 Paragraph 2 of Law No. 48 of 2009 concerning Judicial Power, this is related to a simple, fast, and cheap judicial process. Therefore, there needs to be a dispute resolution procedure like the one in countries that adhere to the common law system. This procedure gives the authority to resolve cases based on how large or small the value of the object of the dispute is, which allows for fast, easy, and cheap dispute resolution through a mechanism known as small claims court </w:t>
      </w:r>
      <w:r>
        <w:rPr>
          <w:rFonts w:ascii="Garamond" w:hAnsi="Garamond" w:cstheme="majorBidi"/>
          <w:sz w:val="24"/>
          <w:szCs w:val="24"/>
        </w:rPr>
        <w:t xml:space="preserve"> </w:t>
      </w:r>
      <w:r>
        <w:rPr>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{"citationItems":[{"id":"ITEM-1","itemData":{"DOI":"10.15294/lesrev.v5i1.42859","ISBN":"0000000159","author":[{"dropping-particle":"","family":"Wibowo","given":"Seno Adhi","non-dropping-particle":"","parse-names":false,"suffix":""}],"id":"ITEM-1","issue":"May","issued":{"date-parts":[["2021"]]},"page":"165-178","title":"Lex Scientia Law Review Implementation of the Small Claims Court in Dispute Case Settlement in Indonesia","type":"article-journal","volume":"5"},"uris":["http://www.mendeley.com/documents/?uuid=ef2a8ec5-311e-46ce-aada-2edec356d384","http://www.mendeley.com/documents/?uuid=abe90cab-1594-4cdb-b981-6a43625f78da"]}],"mendeley":{"formattedCitation":"(Wibowo 2021)","plainTextFormattedCitation":"(Wibowo 2021)","previouslyFormattedCitation":"(Wibowo 2021)"},"properties":{"noteIndex":0},"schema":"https://github.com/citation-style-language/schema/raw/master/csl-citation.json"}</w:instrText>
      </w:r>
      <w:r>
        <w:rPr>
          <w:rFonts w:ascii="Garamond" w:hAnsi="Garamond" w:cstheme="majorBidi"/>
          <w:sz w:val="24"/>
          <w:szCs w:val="24"/>
        </w:rPr>
        <w:fldChar w:fldCharType="separate"/>
      </w:r>
      <w:r w:rsidR="0090100A" w:rsidRPr="0090100A">
        <w:rPr>
          <w:rFonts w:ascii="Garamond" w:hAnsi="Garamond" w:cstheme="majorBidi"/>
          <w:noProof/>
          <w:sz w:val="24"/>
          <w:szCs w:val="24"/>
        </w:rPr>
        <w:t>(Wibowo 2021)</w:t>
      </w:r>
      <w:r>
        <w:rPr>
          <w:rFonts w:ascii="Garamond" w:hAnsi="Garamond" w:cstheme="majorBidi"/>
          <w:sz w:val="24"/>
          <w:szCs w:val="24"/>
        </w:rPr>
        <w:fldChar w:fldCharType="end"/>
      </w:r>
      <w:r w:rsidRPr="003D46D6">
        <w:rPr>
          <w:rFonts w:ascii="Garamond" w:hAnsi="Garamond" w:cstheme="majorBidi"/>
          <w:sz w:val="24"/>
          <w:szCs w:val="24"/>
        </w:rPr>
        <w:t>.</w:t>
      </w:r>
    </w:p>
    <w:p w14:paraId="37331491" w14:textId="5EC8D40B" w:rsidR="00DA3604" w:rsidRDefault="00207218" w:rsidP="00DA3604">
      <w:pPr>
        <w:spacing w:after="0" w:line="276" w:lineRule="auto"/>
        <w:ind w:firstLine="567"/>
        <w:contextualSpacing/>
        <w:jc w:val="both"/>
        <w:rPr>
          <w:rFonts w:ascii="Garamond" w:hAnsi="Garamond" w:cstheme="majorBidi"/>
          <w:sz w:val="24"/>
          <w:szCs w:val="24"/>
          <w:lang w:eastAsia="zh-CN"/>
        </w:rPr>
      </w:pPr>
      <w:r w:rsidRPr="00707925">
        <w:rPr>
          <w:rFonts w:ascii="Garamond" w:hAnsi="Garamond" w:cstheme="majorBidi"/>
          <w:sz w:val="24"/>
          <w:szCs w:val="24"/>
        </w:rPr>
        <w:t xml:space="preserve">According to Article 1 number 1 of PERMA No. 4 of 2019, which amends Supreme Court Regulation Number 2 of 2015 concerning Procedures for Settlement of </w:t>
      </w:r>
      <w:r w:rsidR="00384142">
        <w:rPr>
          <w:rFonts w:ascii="Garamond" w:hAnsi="Garamond" w:cstheme="majorBidi"/>
          <w:sz w:val="24"/>
          <w:szCs w:val="24"/>
        </w:rPr>
        <w:t>Small claim court</w:t>
      </w:r>
      <w:r w:rsidRPr="00707925">
        <w:rPr>
          <w:rFonts w:ascii="Garamond" w:hAnsi="Garamond" w:cstheme="majorBidi"/>
          <w:sz w:val="24"/>
          <w:szCs w:val="24"/>
        </w:rPr>
        <w:t xml:space="preserve">s, the </w:t>
      </w:r>
      <w:r w:rsidRPr="00707925">
        <w:rPr>
          <w:rFonts w:ascii="Garamond" w:hAnsi="Garamond" w:cstheme="majorBidi"/>
          <w:sz w:val="24"/>
          <w:szCs w:val="24"/>
        </w:rPr>
        <w:lastRenderedPageBreak/>
        <w:t xml:space="preserve">settlement of a </w:t>
      </w:r>
      <w:r w:rsidR="00384142">
        <w:rPr>
          <w:rFonts w:ascii="Garamond" w:hAnsi="Garamond" w:cstheme="majorBidi"/>
          <w:sz w:val="24"/>
          <w:szCs w:val="24"/>
        </w:rPr>
        <w:t>small claim court</w:t>
      </w:r>
      <w:r w:rsidRPr="00707925">
        <w:rPr>
          <w:rFonts w:ascii="Garamond" w:hAnsi="Garamond" w:cstheme="majorBidi"/>
          <w:sz w:val="24"/>
          <w:szCs w:val="24"/>
        </w:rPr>
        <w:t xml:space="preserve"> is an examination procedure in court for civil lawsuits with a maximum material value of Rp 500,000,000,- which is resolved by simple procedures and evidence. A </w:t>
      </w:r>
      <w:r w:rsidR="00384142">
        <w:rPr>
          <w:rFonts w:ascii="Garamond" w:hAnsi="Garamond" w:cstheme="majorBidi"/>
          <w:sz w:val="24"/>
          <w:szCs w:val="24"/>
        </w:rPr>
        <w:t>small claim court</w:t>
      </w:r>
      <w:r w:rsidRPr="00707925">
        <w:rPr>
          <w:rFonts w:ascii="Garamond" w:hAnsi="Garamond" w:cstheme="majorBidi"/>
          <w:sz w:val="24"/>
          <w:szCs w:val="24"/>
        </w:rPr>
        <w:t xml:space="preserve"> case must include breach of promise, default, or unlawful act, it must not be a civil dispute and not a land rights dispute, each of the plaintiff and the defendant must not have the same legal interests, the plaintiff and the defendant live in the same jurisdiction. If the plaintiff does not reside or reside in the jurisdiction in which the defendant resides or resides, the plaintiff must appoint an attorney, incidental attorney, or representative located in the jurisdiction or domicile of the defendant. Both the plaintiff and the defendant must attend the trial in person with or without being accompanied by a proxy, incidental proxy, or representative with a letter of assignment from their respective institutions</w:t>
      </w:r>
      <w:r>
        <w:rPr>
          <w:rFonts w:ascii="Garamond" w:hAnsi="Garamond" w:cstheme="majorBidi"/>
          <w:sz w:val="24"/>
          <w:szCs w:val="24"/>
          <w:lang w:eastAsia="zh-CN"/>
        </w:rPr>
        <w:t xml:space="preserve"> </w:t>
      </w:r>
      <w:r>
        <w:rPr>
          <w:rFonts w:ascii="Garamond" w:hAnsi="Garamond" w:cstheme="majorBidi"/>
          <w:sz w:val="24"/>
          <w:szCs w:val="24"/>
          <w:lang w:eastAsia="zh-CN"/>
        </w:rPr>
        <w:fldChar w:fldCharType="begin" w:fldLock="1"/>
      </w:r>
      <w:r w:rsidR="00F877A8">
        <w:rPr>
          <w:rFonts w:ascii="Garamond" w:hAnsi="Garamond" w:cstheme="majorBidi"/>
          <w:sz w:val="24"/>
          <w:szCs w:val="24"/>
          <w:lang w:eastAsia="zh-CN"/>
        </w:rPr>
        <w:instrText>ADDIN CSL_CITATION {"citationItems":[{"id":"ITEM-1","itemData":{"author":[{"dropping-particle":"","family":"Sukadi","given":"Imam","non-dropping-particle":"","parse-names":false,"suffix":""},{"dropping-particle":"","family":"Zuhriah","given":"Erfaniah","non-dropping-particle":"","parse-names":false,"suffix":""}],"id":"ITEM-1","issue":"1","issued":{"date-parts":[["2021"]]},"page":"1-13","title":"The Legal Policy of Judicial Power : The Idea of Implementation of Small Claim Courts in Religious Courts","type":"article-journal","volume":"13"},"uris":["http://www.mendeley.com/documents/?uuid=c6085f18-f05e-488e-b208-b006ea45ca24","http://www.mendeley.com/documents/?uuid=95763267-07f1-4dfe-a5de-edb14cf2e9b8"]}],"mendeley":{"formattedCitation":"(Sukadi and Zuhriah 2021)","manualFormatting":"(Sukadi and Zechariah 2021)","plainTextFormattedCitation":"(Sukadi and Zuhriah 2021)","previouslyFormattedCitation":"(Sukadi and Zuhriah 2021)"},"properties":{"noteIndex":0},"schema":"https://github.com/citation-style-language/schema/raw/master/csl-citation.json"}</w:instrText>
      </w:r>
      <w:r>
        <w:rPr>
          <w:rFonts w:ascii="Garamond" w:hAnsi="Garamond" w:cstheme="majorBidi"/>
          <w:sz w:val="24"/>
          <w:szCs w:val="24"/>
          <w:lang w:eastAsia="zh-CN"/>
        </w:rPr>
        <w:fldChar w:fldCharType="separate"/>
      </w:r>
      <w:r w:rsidR="0090100A" w:rsidRPr="0090100A">
        <w:rPr>
          <w:rFonts w:ascii="Garamond" w:hAnsi="Garamond" w:cstheme="majorBidi"/>
          <w:noProof/>
          <w:sz w:val="24"/>
          <w:szCs w:val="24"/>
          <w:lang w:eastAsia="zh-CN"/>
        </w:rPr>
        <w:t>(Sukadi and Zechariah 2021)</w:t>
      </w:r>
      <w:r>
        <w:rPr>
          <w:rFonts w:ascii="Garamond" w:hAnsi="Garamond" w:cstheme="majorBidi"/>
          <w:sz w:val="24"/>
          <w:szCs w:val="24"/>
          <w:lang w:eastAsia="zh-CN"/>
        </w:rPr>
        <w:fldChar w:fldCharType="end"/>
      </w:r>
      <w:r w:rsidRPr="003D46D6">
        <w:rPr>
          <w:rFonts w:ascii="Garamond" w:hAnsi="Garamond" w:cstheme="majorBidi"/>
          <w:sz w:val="24"/>
          <w:szCs w:val="24"/>
          <w:lang w:eastAsia="zh-CN"/>
        </w:rPr>
        <w:t>.</w:t>
      </w:r>
    </w:p>
    <w:p w14:paraId="5FE70B54" w14:textId="1E6BE260" w:rsidR="003D46D6" w:rsidRPr="003D46D6" w:rsidRDefault="00384142" w:rsidP="00DA3604">
      <w:pPr>
        <w:spacing w:after="0" w:line="276" w:lineRule="auto"/>
        <w:ind w:firstLine="567"/>
        <w:contextualSpacing/>
        <w:jc w:val="both"/>
        <w:rPr>
          <w:rFonts w:ascii="Garamond" w:hAnsi="Garamond" w:cstheme="majorBidi"/>
          <w:sz w:val="24"/>
          <w:szCs w:val="24"/>
        </w:rPr>
      </w:pPr>
      <w:r>
        <w:rPr>
          <w:rFonts w:ascii="Garamond" w:hAnsi="Garamond" w:cstheme="majorBidi"/>
          <w:sz w:val="24"/>
          <w:szCs w:val="24"/>
          <w:lang w:eastAsia="zh-CN"/>
        </w:rPr>
        <w:t>Small claim court</w:t>
      </w:r>
      <w:r w:rsidR="00707925" w:rsidRPr="00707925">
        <w:rPr>
          <w:rFonts w:ascii="Garamond" w:hAnsi="Garamond" w:cstheme="majorBidi"/>
          <w:sz w:val="24"/>
          <w:szCs w:val="24"/>
          <w:lang w:eastAsia="zh-CN"/>
        </w:rPr>
        <w:t xml:space="preserve"> settlement does not have a replica and duplicate process. These proponents argue that this could shorten the time it takes to examine cases. On the other hand, the dissenting party considers this method ineffective because it does not allow each party to submit replicas and duplicates. Gustav Radbruch stated that the three basic values of law are justice, utility, and legal certainty </w:t>
      </w:r>
      <w:r w:rsidR="00207218">
        <w:rPr>
          <w:rFonts w:ascii="Garamond" w:hAnsi="Garamond" w:cstheme="majorBidi"/>
          <w:sz w:val="24"/>
          <w:szCs w:val="24"/>
          <w:lang w:eastAsia="zh-CN"/>
        </w:rPr>
        <w:fldChar w:fldCharType="begin" w:fldLock="1"/>
      </w:r>
      <w:r w:rsidR="00F877A8">
        <w:rPr>
          <w:rFonts w:ascii="Garamond" w:hAnsi="Garamond" w:cstheme="majorBidi"/>
          <w:sz w:val="24"/>
          <w:szCs w:val="24"/>
          <w:lang w:eastAsia="zh-CN"/>
        </w:rPr>
        <w:instrText>ADDIN CSL_CITATION {"citationItems":[{"id":"ITEM-1","itemData":{"DOI":"10.26623/julr.v5i1.4237","abstract":"&lt;p&gt;Tujuan dari penelitian ini adalah untuk menganalisa reposisi pelaksanaan penyelesaian sengketa perdata dengan gugatan sederhana (&lt;em&gt;small claim court&lt;/em&gt;). Hal ini yang menjadi urgensi penulis memfokuskan untuk memberikan rekomendasi kepada pengadilan sebagai evaluasi agar melaksanakan sesuai  dengan Perma No.4 tahun 2019. Metode Penelitian ini menggunakan Yuridis Normatif. Kebaharuan penelitian ini terletak pada penyimpangan ketentuan dalam Perma No. 4 tahun 2019 yang tidak dijalankan Pengadilan sehingga perlu dilakukan reposisi untuk menata kembali. Berdasarkan hasil penelitian menunjukkan  pelaksanaan penyelesaian sengketa perdata dengan gugatan sederhana (&lt;em&gt;small claim court&lt;/em&gt;) meliputi tahapan pendaftaran, pemeriksaan kelengkapan gugatan sederhana, penetapan hakim dan penunjukkan panitera pengganti, pemeriksaan pendahuluan, penetapan hari sidang dan pemanggilan para pihak, pemeriksaan sidang dan perdamaian, pembuktian dan putusan diselesaikan dalam waktu paling lama 25 (dua puluh lima) hari sejak sidang pertama. Apabila ada yang keberatan dengan putusan tersebut dapat mengajukan memori keberatan diselesaikan dalam waktu 7 (tujuh) hari.&lt;/p&gt;&lt;p&gt;&lt;strong&gt;&lt;em&gt; &lt;/em&gt;&lt;/strong&gt;&lt;/p&gt;&lt;p&gt;The purpose of this study is to understand the repositioning of Civil Dispute Settlement Implementation with a Simple Claim (Small Claim Court). This is the urgency of the author to focus on providing recommendations to the court as an evaluation in order to carry out in accordance with Perma No. 4 of 2019. This research method uses normative juridical. The novelty of this research lies in the deviation of the provisions in Perma No. 4 of 2019 which was not carried out by the Court so it needed to be repositioned to reorganize. Based on the results of the study, it shows that the Implementation of Civil Dispute Settlement With a Simple Claim (Small Claim Court) includes the registration stage, examination of the completeness of a simple lawsuit, determination of the judge and appointment of a substitute clerk, preliminary examination, determination of the day of trial and summons of the parties, examination of the trial and reconciliation, evidence and decision completed within a maximum of 25 (twenty-five) days. since the first trial. If there are objections to the decision, they can file a memorandum of objection to be resolved within 7 (seven) days.&lt;/p&gt;","author":[{"dropping-particle":"","family":"Prasetyo","given":"Muhammad Agus","non-dropping-particle":"","parse-names":false,"suffix":""},{"dropping-particle":"","family":"Supriyadi","given":"Supriyadi","non-dropping-particle":"","parse-names":false,"suffix":""},{"dropping-particle":"","family":"Sulistyani","given":"Diah","non-dropping-particle":"","parse-names":false,"suffix":""},{"dropping-particle":"","family":"Arifin","given":"Zaenal","non-dropping-particle":"","parse-names":false,"suffix":""}],"container-title":"Jurnal Usm Law Review","id":"ITEM-1","issue":"2","issued":{"date-parts":[["2022"]]},"page":"905","title":"Reposisi Pelaksanaan Penyelesaian Sengketa Perdata Dengan Gugatan Sederhana (Small Claim Court)","type":"article-journal","volume":"4"},"uris":["http://www.mendeley.com/documents/?uuid=7ec51f0a-44de-4788-8b8d-198c3cd7334a","http://www.mendeley.com/documents/?uuid=f1c9615f-e2ef-42b9-b5f8-fa473ef653f2"]}],"mendeley":{"formattedCitation":"(Prasetyo et al. 2022)","plainTextFormattedCitation":"(Prasetyo et al. 2022)","previouslyFormattedCitation":"(Prasetyo et al. 2022)"},"properties":{"noteIndex":0},"schema":"https://github.com/citation-style-language/schema/raw/master/csl-citation.json"}</w:instrText>
      </w:r>
      <w:r w:rsidR="00207218">
        <w:rPr>
          <w:rFonts w:ascii="Garamond" w:hAnsi="Garamond" w:cstheme="majorBidi"/>
          <w:sz w:val="24"/>
          <w:szCs w:val="24"/>
          <w:lang w:eastAsia="zh-CN"/>
        </w:rPr>
        <w:fldChar w:fldCharType="separate"/>
      </w:r>
      <w:r w:rsidR="0090100A" w:rsidRPr="0090100A">
        <w:rPr>
          <w:rFonts w:ascii="Garamond" w:hAnsi="Garamond" w:cstheme="majorBidi"/>
          <w:noProof/>
          <w:sz w:val="24"/>
          <w:szCs w:val="24"/>
          <w:lang w:eastAsia="zh-CN"/>
        </w:rPr>
        <w:t>(Prasetyo et al. 2022)</w:t>
      </w:r>
      <w:r w:rsidR="00207218">
        <w:rPr>
          <w:rFonts w:ascii="Garamond" w:hAnsi="Garamond" w:cstheme="majorBidi"/>
          <w:sz w:val="24"/>
          <w:szCs w:val="24"/>
          <w:lang w:eastAsia="zh-CN"/>
        </w:rPr>
        <w:fldChar w:fldCharType="end"/>
      </w:r>
      <w:r w:rsidR="002B55FB">
        <w:rPr>
          <w:rFonts w:ascii="Garamond" w:hAnsi="Garamond" w:cstheme="majorBidi"/>
          <w:sz w:val="24"/>
          <w:szCs w:val="24"/>
          <w:lang w:eastAsia="zh-CN"/>
        </w:rPr>
        <w:t>.</w:t>
      </w:r>
    </w:p>
    <w:p w14:paraId="3DAA810A" w14:textId="77777777" w:rsidR="0057515B" w:rsidRPr="0057515B" w:rsidRDefault="00207218" w:rsidP="002459FE">
      <w:pPr>
        <w:spacing w:before="120" w:after="120" w:line="276" w:lineRule="auto"/>
        <w:jc w:val="both"/>
        <w:rPr>
          <w:rFonts w:ascii="Garamond" w:eastAsia="Calibri" w:hAnsi="Garamond" w:cs="Calibri"/>
          <w:kern w:val="0"/>
          <w:sz w:val="20"/>
          <w:szCs w:val="20"/>
          <w:lang w:val="id-ID"/>
          <w14:ligatures w14:val="none"/>
        </w:rPr>
      </w:pPr>
      <w:r w:rsidRPr="0057515B">
        <w:rPr>
          <w:rFonts w:ascii="Garamond" w:eastAsia="Calibri" w:hAnsi="Garamond" w:cs="Calibri"/>
          <w:b/>
          <w:kern w:val="0"/>
          <w:sz w:val="24"/>
          <w:lang w:val="id-ID"/>
          <w14:ligatures w14:val="none"/>
        </w:rPr>
        <w:t>RESEARCH METHODS</w:t>
      </w:r>
      <w:r w:rsidR="002459FE">
        <w:rPr>
          <w:rFonts w:ascii="Garamond" w:eastAsia="Calibri" w:hAnsi="Garamond" w:cs="Calibri"/>
          <w:b/>
          <w:kern w:val="0"/>
          <w:sz w:val="24"/>
          <w:lang w:val="id-ID"/>
          <w14:ligatures w14:val="none"/>
        </w:rPr>
        <w:t xml:space="preserve"> </w:t>
      </w:r>
    </w:p>
    <w:p w14:paraId="3666BB95" w14:textId="1547F79E" w:rsidR="00DA3604" w:rsidRDefault="009A4D05" w:rsidP="00DA3604">
      <w:pPr>
        <w:spacing w:after="0" w:line="276" w:lineRule="auto"/>
        <w:ind w:firstLine="567"/>
        <w:jc w:val="both"/>
        <w:rPr>
          <w:rFonts w:ascii="Garamond" w:hAnsi="Garamond" w:cs="Times New Roman"/>
          <w:sz w:val="24"/>
          <w:szCs w:val="24"/>
        </w:rPr>
      </w:pPr>
      <w:r w:rsidRPr="009A4D05">
        <w:rPr>
          <w:rFonts w:ascii="Garamond" w:hAnsi="Garamond" w:cs="Times New Roman"/>
          <w:sz w:val="24"/>
          <w:szCs w:val="24"/>
        </w:rPr>
        <w:t>Qualitative research is a type of research that involves the process of collecting, analyzing, and interpreting data that cannot be measured. This research is a type of case study research that provides an in-depth understanding of a problem or phenomenon. Using a qualitative descriptive approach, this study analyz</w:t>
      </w:r>
      <w:r>
        <w:rPr>
          <w:rFonts w:ascii="Garamond" w:hAnsi="Garamond" w:cs="Times New Roman"/>
          <w:sz w:val="24"/>
          <w:szCs w:val="24"/>
        </w:rPr>
        <w:t>es the settlement of non-performing</w:t>
      </w:r>
      <w:r w:rsidRPr="009A4D05">
        <w:rPr>
          <w:rFonts w:ascii="Garamond" w:hAnsi="Garamond" w:cs="Times New Roman"/>
          <w:sz w:val="24"/>
          <w:szCs w:val="24"/>
        </w:rPr>
        <w:t xml:space="preserve"> financing at BSI KC Palangka Raya Dip</w:t>
      </w:r>
      <w:r>
        <w:rPr>
          <w:rFonts w:ascii="Garamond" w:hAnsi="Garamond" w:cs="Times New Roman"/>
          <w:sz w:val="24"/>
          <w:szCs w:val="24"/>
        </w:rPr>
        <w:t>onegoro through a small claim court.</w:t>
      </w:r>
      <w:r w:rsidR="00207218" w:rsidRPr="00707925">
        <w:rPr>
          <w:rFonts w:ascii="Garamond" w:hAnsi="Garamond" w:cs="Times New Roman"/>
          <w:sz w:val="24"/>
          <w:szCs w:val="24"/>
        </w:rPr>
        <w:t xml:space="preserve"> The qualitative approach emphasizes the meaning, reasoning, and definition of the settlement of non-performing financing at BSI KC Palangka Raya Diponegoro through </w:t>
      </w:r>
      <w:r w:rsidR="00384142">
        <w:rPr>
          <w:rFonts w:ascii="Garamond" w:hAnsi="Garamond" w:cs="Times New Roman"/>
          <w:sz w:val="24"/>
          <w:szCs w:val="24"/>
        </w:rPr>
        <w:t>small claim court</w:t>
      </w:r>
      <w:r w:rsidR="00207218" w:rsidRPr="00707925">
        <w:rPr>
          <w:rFonts w:ascii="Garamond" w:hAnsi="Garamond" w:cs="Times New Roman"/>
          <w:sz w:val="24"/>
          <w:szCs w:val="24"/>
        </w:rPr>
        <w:t>s and other matters related to research problems</w:t>
      </w:r>
      <w:r w:rsidR="00207218" w:rsidRPr="005E40C2">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{"citationItems":[{"id":"ITEM-1","itemData":{"author":[{"dropping-particle":"","family":"Sugiyono","given":"","non-dropping-particle":"","parse-names":false,"suffix":""}],"id":"ITEM-1","issued":{"date-parts":[["2019"]]},"publisher":"Alfabeta","title":"Metode Penelitian Pendidikan : Pendekatan Kuantitatif, Kualitatif, Dan R&amp;D","type":"book"},"uris":["http://www.mendeley.com/documents/?uuid=d0ab6f9d-a353-4082-9c6c-6065fcc14e27","http://www.mendeley.com/documents/?uuid=5bc8d545-ce24-4487-a957-d5acccf64572"]}],"mendeley":{"formattedCitation":"(Sugiyono 2019)","plainTextFormattedCitation":"(Sugiyono 2019)","previouslyFormattedCitation":"(Sugiyono 2019)"},"properties":{"noteIndex":0},"schema":"https://github.com/citation-style-language/schema/raw/master/csl-citation.json"}</w:instrText>
      </w:r>
      <w:r w:rsidR="00207218" w:rsidRPr="005E40C2">
        <w:rPr>
          <w:rFonts w:ascii="Garamond" w:hAnsi="Garamond" w:cs="Times New Roman"/>
          <w:sz w:val="24"/>
          <w:szCs w:val="24"/>
        </w:rPr>
        <w:fldChar w:fldCharType="separate"/>
      </w:r>
      <w:r w:rsidR="0090100A" w:rsidRPr="0090100A">
        <w:rPr>
          <w:rFonts w:ascii="Garamond" w:hAnsi="Garamond" w:cs="Times New Roman"/>
          <w:noProof/>
          <w:sz w:val="24"/>
          <w:szCs w:val="24"/>
        </w:rPr>
        <w:t>(Sugiyono 2019)</w:t>
      </w:r>
      <w:r w:rsidR="00207218" w:rsidRPr="005E40C2">
        <w:rPr>
          <w:rFonts w:ascii="Garamond" w:hAnsi="Garamond" w:cs="Times New Roman"/>
          <w:sz w:val="24"/>
          <w:szCs w:val="24"/>
        </w:rPr>
        <w:fldChar w:fldCharType="end"/>
      </w:r>
      <w:r w:rsidR="00207218" w:rsidRPr="005E40C2">
        <w:rPr>
          <w:rFonts w:ascii="Garamond" w:hAnsi="Garamond" w:cs="Times New Roman"/>
          <w:sz w:val="24"/>
          <w:szCs w:val="24"/>
        </w:rPr>
        <w:t xml:space="preserve">. </w:t>
      </w:r>
      <w:r w:rsidR="002854F9" w:rsidRPr="002854F9">
        <w:rPr>
          <w:rFonts w:ascii="Garamond" w:hAnsi="Garamond" w:cs="Times New Roman"/>
          <w:sz w:val="24"/>
          <w:szCs w:val="24"/>
        </w:rPr>
        <w:t>The data needed in this study are primary data and secondary data, primary data is the main data needed such as the results of interviews with employees of the BSI KC Palangka Raya Diponegoro collection, and secondary data as supporting data such as literature that includes theories or findings of previous research and official documents of lawsuits to strengt</w:t>
      </w:r>
      <w:r>
        <w:rPr>
          <w:rFonts w:ascii="Garamond" w:hAnsi="Garamond" w:cs="Times New Roman"/>
          <w:sz w:val="24"/>
          <w:szCs w:val="24"/>
        </w:rPr>
        <w:t xml:space="preserve">hen the results of the research </w:t>
      </w:r>
      <w:r w:rsidR="00207218" w:rsidRPr="005E40C2">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uthor":[{"dropping-particle":"","family":"Helaludidin","given":"","non-dropping-particle":"","parse-names":false,"suffix":""},{"dropping-particle":"","family":"Wijaya","given":"Hengki","non-dropping-particle":"","parse-names":false,"suffix":""}],"id":"ITEM-1","issued":{"date-parts":[["2019"]]},"number-of-pages":"78","publisher":"Sekolah Tinggi Theologia","publisher-place":"Makassar","title":"Analisis Data Kualitatif: Sebuah Tinjauan Teori &amp; Praktik","type":"book"},"uris":["http://www.mendeley.com/documents/?uuid=d7b0141f-23d6-4fd5-8943-37d6cbbe2316","http://www.mendeley.com/documents/?uuid=997ca4ef-4ad9-4a3d-a150-62a76b31535c"]}],"mendeley":{"formattedCitation":"(Helaludidin and Wijaya 2019)","plainTextFormattedCitation":"(Helaludidin and Wijaya 2019)","previouslyFormattedCitation":"(Helaludidin and Wijaya 2019)"},"properties":{"noteIndex":0},"schema":"https://github.com/citation-style-language/schema/raw/master/csl-citation.json"}</w:instrText>
      </w:r>
      <w:r w:rsidR="00207218" w:rsidRPr="005E40C2">
        <w:rPr>
          <w:rFonts w:ascii="Garamond" w:hAnsi="Garamond" w:cs="Times New Roman"/>
          <w:sz w:val="24"/>
          <w:szCs w:val="24"/>
        </w:rPr>
        <w:fldChar w:fldCharType="separate"/>
      </w:r>
      <w:r w:rsidR="0090100A" w:rsidRPr="0090100A">
        <w:rPr>
          <w:rFonts w:ascii="Garamond" w:hAnsi="Garamond" w:cs="Times New Roman"/>
          <w:noProof/>
          <w:sz w:val="24"/>
          <w:szCs w:val="24"/>
        </w:rPr>
        <w:t>(Helaludidin and Wijaya 2019)</w:t>
      </w:r>
      <w:r w:rsidR="00207218" w:rsidRPr="005E40C2">
        <w:rPr>
          <w:rFonts w:ascii="Garamond" w:hAnsi="Garamond" w:cs="Times New Roman"/>
          <w:sz w:val="24"/>
          <w:szCs w:val="24"/>
        </w:rPr>
        <w:fldChar w:fldCharType="end"/>
      </w:r>
      <w:r>
        <w:rPr>
          <w:rFonts w:ascii="Garamond" w:hAnsi="Garamond" w:cs="Times New Roman"/>
          <w:sz w:val="24"/>
          <w:szCs w:val="24"/>
        </w:rPr>
        <w:t>.</w:t>
      </w:r>
    </w:p>
    <w:p w14:paraId="19AAC886" w14:textId="752B55FB" w:rsidR="00A10C72" w:rsidRDefault="00207218" w:rsidP="00DA3604">
      <w:pPr>
        <w:spacing w:after="0" w:line="276" w:lineRule="auto"/>
        <w:ind w:firstLine="567"/>
        <w:jc w:val="both"/>
        <w:rPr>
          <w:rFonts w:ascii="Garamond" w:hAnsi="Garamond" w:cs="Times New Roman"/>
          <w:sz w:val="24"/>
          <w:szCs w:val="24"/>
        </w:rPr>
      </w:pPr>
      <w:r w:rsidRPr="002854F9">
        <w:rPr>
          <w:rFonts w:ascii="Garamond" w:hAnsi="Garamond" w:cs="Times New Roman"/>
          <w:sz w:val="24"/>
          <w:szCs w:val="24"/>
        </w:rPr>
        <w:t>The data collection techniques used include observation, interviews, and documentation. Valid and correct data is obtained from data processing, and the data researchers can test various data sources through the triangulation method. The triangulation used in this study is a triangulation technique by testing the credibility of the data, the data obtained is checked through in-depth interviews, observations, and documents or notes. Data analysis is the process of systematically searching for and compiling data. In qualitative research, data analysis begins with initial research and explanation of the problem before going into the field and is carried out continuously until the data is complete. After the data collected is explained through the data reduction process or directly presented (data display), the conclusions</w:t>
      </w:r>
      <w:r>
        <w:rPr>
          <w:rFonts w:ascii="Garamond" w:hAnsi="Garamond" w:cs="Times New Roman"/>
          <w:sz w:val="24"/>
          <w:szCs w:val="24"/>
        </w:rPr>
        <w:t xml:space="preserve"> that still exist are temporary </w:t>
      </w:r>
      <w:r w:rsidRPr="005E40C2">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uthor":[{"dropping-particle":"","family":"Umrati","given":"","non-dropping-particle":"","parse-names":false,"suffix":""},{"dropping-particle":"","family":"Wijaya","given":"Hengky","non-dropping-particle":"","parse-names":false,"suffix":""}],"id":"ITEM-1","issued":{"date-parts":[["2020"]]},"number-of-pages":"105","publisher":"Sekolah Tinggi Theologia Jaffray","publisher-place":"Makassar","title":"Analisis Data Kualitatif: Teori Konsep Dalam Penelitian Pendidikan","type":"book"},"uris":["http://www.mendeley.com/documents/?uuid=408814f9-dcdc-4c85-bef8-5605a72a402e","http://www.mendeley.com/documents/?uuid=3a359e57-da70-4df9-a740-e4deaa33bbae"]}],"mendeley":{"formattedCitation":"(Umrati and Wijaya 2020)","plainTextFormattedCitation":"(Umrati and Wijaya 2020)","previouslyFormattedCitation":"(Umrati and Wijaya 2020)"},"properties":{"noteIndex":0},"schema":"https://github.com/citation-style-language/schema/raw/master/csl-citation.json"}</w:instrText>
      </w:r>
      <w:r w:rsidRPr="005E40C2">
        <w:rPr>
          <w:rFonts w:ascii="Garamond" w:hAnsi="Garamond" w:cs="Times New Roman"/>
          <w:sz w:val="24"/>
          <w:szCs w:val="24"/>
        </w:rPr>
        <w:fldChar w:fldCharType="separate"/>
      </w:r>
      <w:r w:rsidR="0090100A" w:rsidRPr="0090100A">
        <w:rPr>
          <w:rFonts w:ascii="Garamond" w:hAnsi="Garamond" w:cs="Times New Roman"/>
          <w:noProof/>
          <w:sz w:val="24"/>
          <w:szCs w:val="24"/>
        </w:rPr>
        <w:t>(Umrati and Wijaya 2020)</w:t>
      </w:r>
      <w:r w:rsidRPr="005E40C2">
        <w:rPr>
          <w:rFonts w:ascii="Garamond" w:hAnsi="Garamond" w:cs="Times New Roman"/>
          <w:sz w:val="24"/>
          <w:szCs w:val="24"/>
        </w:rPr>
        <w:fldChar w:fldCharType="end"/>
      </w:r>
      <w:r>
        <w:rPr>
          <w:rFonts w:ascii="Garamond" w:hAnsi="Garamond" w:cs="Times New Roman"/>
          <w:sz w:val="24"/>
          <w:szCs w:val="24"/>
        </w:rPr>
        <w:t>.</w:t>
      </w:r>
    </w:p>
    <w:p w14:paraId="20A940FE" w14:textId="77777777" w:rsidR="00DA3604" w:rsidRDefault="00DA3604" w:rsidP="003C4E8F">
      <w:pPr>
        <w:spacing w:before="120" w:after="120" w:line="276" w:lineRule="auto"/>
        <w:rPr>
          <w:rFonts w:ascii="Garamond" w:eastAsia="Calibri" w:hAnsi="Garamond" w:cs="Calibri"/>
          <w:b/>
          <w:kern w:val="0"/>
          <w:sz w:val="24"/>
          <w:lang w:val="id-ID"/>
          <w14:ligatures w14:val="none"/>
        </w:rPr>
      </w:pPr>
    </w:p>
    <w:p w14:paraId="47DB703B" w14:textId="47584704" w:rsidR="0057515B" w:rsidRPr="0057515B" w:rsidRDefault="00207218" w:rsidP="003C4E8F">
      <w:pPr>
        <w:spacing w:before="120" w:after="120" w:line="276" w:lineRule="auto"/>
        <w:rPr>
          <w:rFonts w:ascii="Garamond" w:eastAsia="Calibri" w:hAnsi="Garamond" w:cs="Calibri"/>
          <w:b/>
          <w:kern w:val="0"/>
          <w:sz w:val="24"/>
          <w:lang w:val="id-ID"/>
          <w14:ligatures w14:val="none"/>
        </w:rPr>
      </w:pPr>
      <w:r w:rsidRPr="0057515B">
        <w:rPr>
          <w:rFonts w:ascii="Garamond" w:eastAsia="Calibri" w:hAnsi="Garamond" w:cs="Calibri"/>
          <w:b/>
          <w:kern w:val="0"/>
          <w:sz w:val="24"/>
          <w:lang w:val="id-ID"/>
          <w14:ligatures w14:val="none"/>
        </w:rPr>
        <w:lastRenderedPageBreak/>
        <w:t>RESULT</w:t>
      </w:r>
      <w:r w:rsidR="00C27237">
        <w:rPr>
          <w:rFonts w:ascii="Garamond" w:eastAsia="Calibri" w:hAnsi="Garamond" w:cs="Calibri"/>
          <w:b/>
          <w:kern w:val="0"/>
          <w:sz w:val="24"/>
          <w:lang w:val="id-ID"/>
          <w14:ligatures w14:val="none"/>
        </w:rPr>
        <w:t xml:space="preserve"> </w:t>
      </w:r>
      <w:r w:rsidR="00C13136">
        <w:rPr>
          <w:rFonts w:ascii="Garamond" w:eastAsia="Calibri" w:hAnsi="Garamond" w:cs="Calibri"/>
          <w:b/>
          <w:kern w:val="0"/>
          <w:sz w:val="24"/>
          <w14:ligatures w14:val="none"/>
        </w:rPr>
        <w:t xml:space="preserve">AND </w:t>
      </w:r>
      <w:r w:rsidR="00C13136" w:rsidRPr="0057515B">
        <w:rPr>
          <w:rFonts w:ascii="Garamond" w:eastAsia="Calibri" w:hAnsi="Garamond" w:cs="Calibri"/>
          <w:b/>
          <w:kern w:val="0"/>
          <w:sz w:val="24"/>
          <w:lang w:val="id-ID"/>
          <w14:ligatures w14:val="none"/>
        </w:rPr>
        <w:t>DISCUSSIO</w:t>
      </w:r>
      <w:r w:rsidR="00C13136">
        <w:rPr>
          <w:rFonts w:ascii="Garamond" w:eastAsia="Calibri" w:hAnsi="Garamond" w:cs="Calibri"/>
          <w:b/>
          <w:kern w:val="0"/>
          <w:sz w:val="24"/>
          <w:lang w:val="id-ID"/>
          <w14:ligatures w14:val="none"/>
        </w:rPr>
        <w:t>N</w:t>
      </w:r>
      <w:r w:rsidR="00C13136" w:rsidRPr="0057515B">
        <w:rPr>
          <w:rFonts w:ascii="Garamond" w:eastAsia="Calibri" w:hAnsi="Garamond" w:cs="Calibri"/>
          <w:b/>
          <w:kern w:val="0"/>
          <w:sz w:val="24"/>
          <w:lang w:val="id-ID"/>
          <w14:ligatures w14:val="none"/>
        </w:rPr>
        <w:t xml:space="preserve"> </w:t>
      </w:r>
    </w:p>
    <w:p w14:paraId="486D6013" w14:textId="77777777" w:rsidR="00A10C72" w:rsidRPr="005E40C2" w:rsidRDefault="00207218" w:rsidP="00090236">
      <w:pPr>
        <w:spacing w:after="0" w:line="240" w:lineRule="auto"/>
        <w:jc w:val="both"/>
        <w:rPr>
          <w:rFonts w:ascii="Garamond" w:hAnsi="Garamond" w:cs="Times New Roman"/>
          <w:b/>
          <w:bCs/>
          <w:sz w:val="24"/>
          <w:szCs w:val="24"/>
        </w:rPr>
      </w:pPr>
      <w:bookmarkStart w:id="2" w:name="_Hlk135005863"/>
      <w:r>
        <w:rPr>
          <w:rFonts w:ascii="Garamond" w:hAnsi="Garamond" w:cs="Times New Roman"/>
          <w:b/>
          <w:bCs/>
          <w:sz w:val="24"/>
          <w:szCs w:val="24"/>
        </w:rPr>
        <w:t>Factors Causing Non- Non-Performing</w:t>
      </w:r>
      <w:r w:rsidRPr="00A214D9">
        <w:rPr>
          <w:rFonts w:ascii="Garamond" w:hAnsi="Garamond" w:cs="Times New Roman"/>
          <w:b/>
          <w:bCs/>
          <w:sz w:val="24"/>
          <w:szCs w:val="24"/>
        </w:rPr>
        <w:t xml:space="preserve"> Financing</w:t>
      </w:r>
    </w:p>
    <w:p w14:paraId="2F66724E" w14:textId="5EC6B087" w:rsidR="00DA3604" w:rsidRDefault="00207218" w:rsidP="00DA3604">
      <w:pPr>
        <w:spacing w:after="0" w:line="276" w:lineRule="auto"/>
        <w:ind w:firstLine="567"/>
        <w:jc w:val="both"/>
        <w:rPr>
          <w:rFonts w:ascii="Garamond" w:hAnsi="Garamond"/>
          <w:sz w:val="24"/>
          <w:szCs w:val="24"/>
        </w:rPr>
      </w:pPr>
      <w:r>
        <w:rPr>
          <w:rFonts w:ascii="Garamond" w:hAnsi="Garamond"/>
          <w:sz w:val="24"/>
          <w:szCs w:val="24"/>
        </w:rPr>
        <w:t>The Directorate of Sharia Banking of Bank Indonesia released Sharia Banking statistics, mentioning the term Non-Performing Finance or Non-Performing Financing which indicates that funding is experiencing obstacles so that it does not run well. Financing always contains Non-Performing Finance risks and will affect the performance of Islamic banks</w:t>
      </w:r>
      <w:r w:rsidR="003D46D6">
        <w:rPr>
          <w:rFonts w:ascii="Garamond" w:hAnsi="Garamond"/>
          <w:sz w:val="24"/>
          <w:szCs w:val="24"/>
        </w:rPr>
        <w:fldChar w:fldCharType="begin" w:fldLock="1"/>
      </w:r>
      <w:r w:rsidR="00F877A8">
        <w:rPr>
          <w:rFonts w:ascii="Garamond" w:hAnsi="Garamond"/>
          <w:sz w:val="24"/>
          <w:szCs w:val="24"/>
        </w:rPr>
        <w:instrText>ADDIN CSL_CITATION {"citationItems":[{"id":"ITEM-1","itemData":{"author":[{"dropping-particle":"","family":"Ramanesty","given":"Eisha Dwita","non-dropping-particle":"","parse-names":false,"suffix":""},{"dropping-particle":"","family":"Prasetyo","given":"Ari","non-dropping-particle":"","parse-names":false,"suffix":""},{"dropping-particle":"","family":"Airlangga","given":"Universitas","non-dropping-particle":"","parse-names":false,"suffix":""}],"id":"ITEM-1","issue":"9","issued":{"date-parts":[["2020"]]},"page":"476-485","title":"The Impact of Financial Structure , Inflation , and Economical Growth on Non-performing Financing at Islamic Rural Bank in West Java 2011-2015","type":"article-journal","volume":"11"},"uris":["http://www.mendeley.com/documents/?uuid=bb283597-927d-4376-b9cb-a96d49b465d5","http://www.mendeley.com/documents/?uuid=5b743e70-e0d5-444e-b221-0869b3845d9b"]}],"mendeley":{"formattedCitation":"(Ramanesty, Prasetyo, and Airlangga 2020)","plainTextFormattedCitation":"(Ramanesty, Prasetyo, and Airlangga 2020)","previouslyFormattedCitation":"(Ramanesty, Prasetyo, and Airlangga 2020)"},"properties":{"noteIndex":0},"schema":"https://github.com/citation-style-language/schema/raw/master/csl-citation.json"}</w:instrText>
      </w:r>
      <w:r w:rsidR="003D46D6">
        <w:rPr>
          <w:rFonts w:ascii="Garamond" w:hAnsi="Garamond"/>
          <w:sz w:val="24"/>
          <w:szCs w:val="24"/>
        </w:rPr>
        <w:fldChar w:fldCharType="separate"/>
      </w:r>
      <w:r w:rsidR="0090100A" w:rsidRPr="0090100A">
        <w:rPr>
          <w:rFonts w:ascii="Garamond" w:hAnsi="Garamond"/>
          <w:noProof/>
          <w:sz w:val="24"/>
          <w:szCs w:val="24"/>
        </w:rPr>
        <w:t>(Ramanesty, Prasetyo, and Airlangga 2020)</w:t>
      </w:r>
      <w:r w:rsidR="003D46D6">
        <w:rPr>
          <w:rFonts w:ascii="Garamond" w:hAnsi="Garamond"/>
          <w:sz w:val="24"/>
          <w:szCs w:val="24"/>
        </w:rPr>
        <w:fldChar w:fldCharType="end"/>
      </w:r>
      <w:r w:rsidR="003D46D6">
        <w:rPr>
          <w:rFonts w:ascii="Garamond" w:hAnsi="Garamond"/>
          <w:sz w:val="24"/>
          <w:szCs w:val="24"/>
        </w:rPr>
        <w:t xml:space="preserve">. </w:t>
      </w:r>
      <w:r>
        <w:rPr>
          <w:rFonts w:ascii="Garamond" w:hAnsi="Garamond"/>
          <w:sz w:val="24"/>
          <w:szCs w:val="24"/>
        </w:rPr>
        <w:t xml:space="preserve">Non-performing financing is a type of financing risk that is defined as the arrears of financing payments by customers that will give rise to risks with financing groups or categories in special attention, doubtful and stuck. </w:t>
      </w:r>
      <w:r w:rsidRPr="002604A1">
        <w:rPr>
          <w:rFonts w:ascii="Garamond" w:hAnsi="Garamond"/>
          <w:sz w:val="24"/>
          <w:szCs w:val="24"/>
        </w:rPr>
        <w:t xml:space="preserve">The high frequency of non-performing financing can affect banking profits, one of the contributing factors is errors in determining financing and billing assessments that trigger an increase in non-performing financing </w:t>
      </w:r>
      <w:r w:rsidR="003D46D6">
        <w:rPr>
          <w:rFonts w:ascii="Garamond" w:hAnsi="Garamond"/>
          <w:sz w:val="24"/>
          <w:szCs w:val="24"/>
        </w:rPr>
        <w:fldChar w:fldCharType="begin" w:fldLock="1"/>
      </w:r>
      <w:r w:rsidR="00F877A8">
        <w:rPr>
          <w:rFonts w:ascii="Garamond" w:hAnsi="Garamond"/>
          <w:sz w:val="24"/>
          <w:szCs w:val="24"/>
        </w:rPr>
        <w:instrText>ADDIN CSL_CITATION {"citationItems":[{"id":"ITEM-1","itemData":{"author":[{"dropping-particle":"","family":"Filianti","given":"Dian","non-dropping-particle":"","parse-names":false,"suffix":""},{"dropping-particle":"","family":"Alif","given":"Sylva","non-dropping-particle":"","parse-names":false,"suffix":""},{"dropping-particle":"","family":"Wahyudi","given":"Imam","non-dropping-particle":"","parse-names":false,"suffix":""}],"id":"ITEM-1","issue":"12","issued":{"date-parts":[["2020"]]},"page":"277-287","title":"The Impact of Sectoral Financing to NPF of BPRS in Indonesia from","type":"article-journal","volume":"10"},"uris":["http://www.mendeley.com/documents/?uuid=073da0e0-0dfc-43fe-ad6e-fd1588b0c6a7","http://www.mendeley.com/documents/?uuid=a1e6744a-a2c3-440f-9f60-14f9ab112761"]}],"mendeley":{"formattedCitation":"(Filianti, Alif, and Wahyudi 2020)","plainTextFormattedCitation":"(Filianti, Alif, and Wahyudi 2020)","previouslyFormattedCitation":"(Filianti, Alif, and Wahyudi 2020)"},"properties":{"noteIndex":0},"schema":"https://github.com/citation-style-language/schema/raw/master/csl-citation.json"}</w:instrText>
      </w:r>
      <w:r w:rsidR="003D46D6">
        <w:rPr>
          <w:rFonts w:ascii="Garamond" w:hAnsi="Garamond"/>
          <w:sz w:val="24"/>
          <w:szCs w:val="24"/>
        </w:rPr>
        <w:fldChar w:fldCharType="separate"/>
      </w:r>
      <w:r w:rsidR="0090100A" w:rsidRPr="0090100A">
        <w:rPr>
          <w:rFonts w:ascii="Garamond" w:hAnsi="Garamond"/>
          <w:noProof/>
          <w:sz w:val="24"/>
          <w:szCs w:val="24"/>
        </w:rPr>
        <w:t>(Filianti, Alif, and Wahyudi 2020)</w:t>
      </w:r>
      <w:r w:rsidR="003D46D6">
        <w:rPr>
          <w:rFonts w:ascii="Garamond" w:hAnsi="Garamond"/>
          <w:sz w:val="24"/>
          <w:szCs w:val="24"/>
        </w:rPr>
        <w:fldChar w:fldCharType="end"/>
      </w:r>
      <w:r w:rsidR="003D46D6">
        <w:rPr>
          <w:rFonts w:ascii="Garamond" w:hAnsi="Garamond"/>
          <w:sz w:val="24"/>
          <w:szCs w:val="24"/>
        </w:rPr>
        <w:t xml:space="preserve">. </w:t>
      </w:r>
      <w:r w:rsidRPr="002604A1">
        <w:rPr>
          <w:rFonts w:ascii="Garamond" w:hAnsi="Garamond" w:cstheme="majorBidi"/>
          <w:sz w:val="24"/>
          <w:szCs w:val="24"/>
        </w:rPr>
        <w:t xml:space="preserve">The obstacles or problems faced by debtors in carrying out their obligations need to be a concern because they will be considered by the Bank in taking actions and decisions. Among the causes of </w:t>
      </w:r>
      <w:r w:rsidR="00384142">
        <w:rPr>
          <w:rFonts w:ascii="Garamond" w:hAnsi="Garamond" w:cstheme="majorBidi"/>
          <w:sz w:val="24"/>
          <w:szCs w:val="24"/>
        </w:rPr>
        <w:t>non-performing financing</w:t>
      </w:r>
      <w:r w:rsidRPr="002604A1">
        <w:rPr>
          <w:rFonts w:ascii="Garamond" w:hAnsi="Garamond" w:cstheme="majorBidi"/>
          <w:sz w:val="24"/>
          <w:szCs w:val="24"/>
        </w:rPr>
        <w:t xml:space="preserve"> can come from internal banking factors or external factors</w:t>
      </w:r>
      <w:r w:rsidRPr="005E40C2">
        <w:rPr>
          <w:rFonts w:ascii="Garamond" w:hAnsi="Garamond" w:cstheme="majorBidi"/>
          <w:sz w:val="24"/>
          <w:szCs w:val="24"/>
        </w:rPr>
        <w:t xml:space="preserve"> </w:t>
      </w:r>
      <w:r w:rsidRPr="005E40C2">
        <w:rPr>
          <w:rStyle w:val="FootnoteReference"/>
          <w:rFonts w:ascii="Garamond" w:hAnsi="Garamond" w:cstheme="majorBidi"/>
          <w:sz w:val="24"/>
          <w:szCs w:val="24"/>
        </w:rPr>
        <w:fldChar w:fldCharType="begin" w:fldLock="1"/>
      </w:r>
      <w:r w:rsidR="00F877A8">
        <w:rPr>
          <w:rFonts w:ascii="Garamond" w:hAnsi="Garamond" w:cstheme="majorBidi"/>
          <w:sz w:val="24"/>
          <w:szCs w:val="24"/>
        </w:rPr>
        <w:instrText>ADDIN CSL_CITATION {"citationItems":[{"id":"ITEM-1","itemData":{"DOI":"10.31000/almaal.v2i1.2741","abstract":"The natural disaster that occurred in Palu on September 28, 2018 was an earthquake that occurred due to the Palu Koro fault activity, which had a magnitude of 7.4 on the Richter scale, which had an impact on bank performance, primarily related to non-performing loans (NPLs). The purpose of this study was to determine the policy of handling non-performing loans for disaster victims as well as an analysis of the Islamic economy of the policy. This research belongs to the category of qualitative research with a descriptive analysis approach. The object under study is Islamic and conventional banks. The handling of problem loans still has several things that need to be clarified, especially for write offs and write offs that are not regulated in OJK Regulation No. 45/POJK.03/2017 concerning Special Treatment of Credit or Financing for Certain Areas in Indonesia Affected by Natural Disasters. In addition, the determination of credit quality and restructuring with a period of 3 years in special treatment for areas affected by natural disasters is too early to be determined, because the impact of natural disasters for each customer is different and allows some customers to make bad intentions by utilizing the situation to avoid payment.","author":[{"dropping-particle":"","family":"Sofyan","given":"Syaakir","non-dropping-particle":"","parse-names":false,"suffix":""}],"container-title":"Al Maal: Journal of Islamic Economics and Banking","id":"ITEM-1","issue":"1","issued":{"date-parts":[["2020"]]},"page":"83","title":"Kebijakan Penanganan Pembiayaan Bermasalah pada Bank Syariah dan Konvensional Perspektif Ekonomi Syariah Pasca Bencana di Sulawesi Tengah","type":"article-journal","volume":"2"},"uris":["http://www.mendeley.com/documents/?uuid=17d83dea-2784-477b-a532-5449299bf6a1","http://www.mendeley.com/documents/?uuid=b7d2d4b6-541c-45e3-8907-94fd4637ae5b"]}],"mendeley":{"formattedCitation":"(Sofyan 2020)","plainTextFormattedCitation":"(Sofyan 2020)","previouslyFormattedCitation":"(Sofyan 2020)"},"properties":{"noteIndex":0},"schema":"https://github.com/citation-style-language/schema/raw/master/csl-citation.json"}</w:instrText>
      </w:r>
      <w:r w:rsidRPr="005E40C2">
        <w:rPr>
          <w:rStyle w:val="FootnoteReference"/>
          <w:rFonts w:ascii="Garamond" w:hAnsi="Garamond" w:cstheme="majorBidi"/>
          <w:sz w:val="24"/>
          <w:szCs w:val="24"/>
        </w:rPr>
        <w:fldChar w:fldCharType="separate"/>
      </w:r>
      <w:r w:rsidR="0090100A" w:rsidRPr="0090100A">
        <w:rPr>
          <w:rFonts w:ascii="Garamond" w:hAnsi="Garamond" w:cstheme="majorBidi"/>
          <w:noProof/>
          <w:sz w:val="24"/>
          <w:szCs w:val="24"/>
        </w:rPr>
        <w:t>(Sofyan 2020)</w:t>
      </w:r>
      <w:r w:rsidRPr="005E40C2">
        <w:rPr>
          <w:rStyle w:val="FootnoteReference"/>
          <w:rFonts w:ascii="Garamond" w:hAnsi="Garamond" w:cstheme="majorBidi"/>
          <w:sz w:val="24"/>
          <w:szCs w:val="24"/>
        </w:rPr>
        <w:fldChar w:fldCharType="end"/>
      </w:r>
      <w:r w:rsidRPr="005E40C2">
        <w:rPr>
          <w:rFonts w:ascii="Garamond" w:hAnsi="Garamond" w:cstheme="majorBidi"/>
          <w:sz w:val="24"/>
          <w:szCs w:val="24"/>
        </w:rPr>
        <w:t>.</w:t>
      </w:r>
    </w:p>
    <w:p w14:paraId="720816E1" w14:textId="77777777" w:rsidR="00DA3604" w:rsidRDefault="00207218" w:rsidP="00DA3604">
      <w:pPr>
        <w:spacing w:after="0" w:line="276" w:lineRule="auto"/>
        <w:ind w:firstLine="567"/>
        <w:jc w:val="both"/>
        <w:rPr>
          <w:rFonts w:ascii="Garamond" w:hAnsi="Garamond"/>
          <w:sz w:val="24"/>
          <w:szCs w:val="24"/>
        </w:rPr>
      </w:pPr>
      <w:r>
        <w:rPr>
          <w:rFonts w:ascii="Garamond" w:hAnsi="Garamond" w:cstheme="majorBidi"/>
          <w:sz w:val="24"/>
          <w:szCs w:val="24"/>
        </w:rPr>
        <w:t xml:space="preserve">Based on the results of an interview with Muhammad Faisal Al Amien from the Collection Division of BSI KC Palangka Raya Diponegoro, there are various causes of </w:t>
      </w:r>
      <w:r w:rsidR="00384142">
        <w:rPr>
          <w:rFonts w:ascii="Garamond" w:hAnsi="Garamond" w:cstheme="majorBidi"/>
          <w:sz w:val="24"/>
          <w:szCs w:val="24"/>
        </w:rPr>
        <w:t>non-performing financing</w:t>
      </w:r>
      <w:r>
        <w:rPr>
          <w:rFonts w:ascii="Garamond" w:hAnsi="Garamond" w:cstheme="majorBidi"/>
          <w:sz w:val="24"/>
          <w:szCs w:val="24"/>
        </w:rPr>
        <w:t>. Muhammad Faisal Amien emphasized that the main factor causing arrears is the lack of attention and sense of responsibility of customers in fulfilling their obligations, besides that the uncertain economic factor of customers is also the reason for arrears. This shows the lack of customer responsibility in paying financing or arrears as well as inefficient financial management of customers so that the economy declines and cannot fulfill the obligation to pay for financing</w:t>
      </w:r>
      <w:r w:rsidR="00A10C72" w:rsidRPr="005E40C2">
        <w:rPr>
          <w:rFonts w:ascii="Garamond" w:hAnsi="Garamond" w:cstheme="majorBidi"/>
          <w:sz w:val="24"/>
          <w:szCs w:val="24"/>
        </w:rPr>
        <w:t xml:space="preserve"> (Muhammad Faisal Al Amien, 2024).</w:t>
      </w:r>
    </w:p>
    <w:p w14:paraId="3B04D93E" w14:textId="0C91BE9D" w:rsidR="00DA3604" w:rsidRDefault="00207218" w:rsidP="00DA3604">
      <w:pPr>
        <w:spacing w:after="0" w:line="276" w:lineRule="auto"/>
        <w:ind w:firstLine="567"/>
        <w:jc w:val="both"/>
        <w:rPr>
          <w:rFonts w:ascii="Garamond" w:hAnsi="Garamond"/>
          <w:sz w:val="24"/>
          <w:szCs w:val="24"/>
        </w:rPr>
      </w:pPr>
      <w:r>
        <w:rPr>
          <w:rFonts w:ascii="Garamond" w:hAnsi="Garamond" w:cs="Times New Roman"/>
          <w:sz w:val="24"/>
          <w:szCs w:val="24"/>
        </w:rPr>
        <w:t>This research supports the results of previous research conducted by Nirma Wulandari which identified various problems faced by customers, including natural disasters, diseases, business bankruptcies, customer nature, and lack of responsibility to pay financing</w:t>
      </w:r>
      <w:r w:rsidR="004F04AA">
        <w:rPr>
          <w:rFonts w:ascii="Garamond" w:hAnsi="Garamond" w:cs="Times New Roman"/>
          <w:sz w:val="24"/>
          <w:szCs w:val="24"/>
        </w:rPr>
        <w:t xml:space="preserve"> </w:t>
      </w:r>
      <w:r w:rsidR="004F04AA">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Kata","author":[{"dropping-particle":"","family":"Nirma Wulandari","given":"","non-dropping-particle":"","parse-names":false,"suffix":""}],"id":"ITEM-1","issued":{"date-parts":[["2023"]]},"number-of-pages":"25","title":"Strategi Penyelesaian Pembiayaan Bermasalah Dengan Metode Restrukturisasi Melalui Prinsip Ta’Awun Di Bank Syariah Indonesia Kcp Magetan 2","type":"thesis"},"uris":["http://www.mendeley.com/documents/?uuid=3a3d1b5e-020b-43d9-be47-61a5c999f0cf","http://www.mendeley.com/documents/?uuid=179b8de0-2897-4ff6-b79c-50f81799f2b9"]}],"mendeley":{"formattedCitation":"(Nirma Wulandari 2023)","plainTextFormattedCitation":"(Nirma Wulandari 2023)","previouslyFormattedCitation":"(Nirma Wulandari 2023)"},"properties":{"noteIndex":0},"schema":"https://github.com/citation-style-language/schema/raw/master/csl-citation.json"}</w:instrText>
      </w:r>
      <w:r w:rsidR="004F04AA">
        <w:rPr>
          <w:rFonts w:ascii="Garamond" w:hAnsi="Garamond" w:cs="Times New Roman"/>
          <w:sz w:val="24"/>
          <w:szCs w:val="24"/>
        </w:rPr>
        <w:fldChar w:fldCharType="separate"/>
      </w:r>
      <w:r w:rsidR="004F04AA" w:rsidRPr="004F04AA">
        <w:rPr>
          <w:rFonts w:ascii="Garamond" w:hAnsi="Garamond" w:cs="Times New Roman"/>
          <w:noProof/>
          <w:sz w:val="24"/>
          <w:szCs w:val="24"/>
        </w:rPr>
        <w:t>(Nirma Wulandari 2023)</w:t>
      </w:r>
      <w:r w:rsidR="004F04AA">
        <w:rPr>
          <w:rFonts w:ascii="Garamond" w:hAnsi="Garamond" w:cs="Times New Roman"/>
          <w:sz w:val="24"/>
          <w:szCs w:val="24"/>
        </w:rPr>
        <w:fldChar w:fldCharType="end"/>
      </w:r>
      <w:r>
        <w:rPr>
          <w:rFonts w:ascii="Garamond" w:hAnsi="Garamond" w:cs="Times New Roman"/>
          <w:sz w:val="24"/>
          <w:szCs w:val="24"/>
        </w:rPr>
        <w:t xml:space="preserve">. Furthermore, research by Khofifah Indar Mawar Sari, Jeby Fahira, and Zahratunisa divides the causes of </w:t>
      </w:r>
      <w:r w:rsidR="00384142">
        <w:rPr>
          <w:rFonts w:ascii="Garamond" w:hAnsi="Garamond" w:cs="Times New Roman"/>
          <w:sz w:val="24"/>
          <w:szCs w:val="24"/>
        </w:rPr>
        <w:t>non-performing financing</w:t>
      </w:r>
      <w:r>
        <w:rPr>
          <w:rFonts w:ascii="Garamond" w:hAnsi="Garamond" w:cs="Times New Roman"/>
          <w:sz w:val="24"/>
          <w:szCs w:val="24"/>
        </w:rPr>
        <w:t xml:space="preserve"> into two categories: internal and external. Internal factors include errors in financing analysis, poor human resources, and poor company management. External factors include natural disasters, wars, and changes in the economy of the community. This indicates that the company also has a responsibility to ensure that the risk analysis and management process is well conducted to reduce the likelihood of distressed financing</w:t>
      </w:r>
      <w:r w:rsidR="004F04AA">
        <w:rPr>
          <w:rFonts w:ascii="Garamond" w:hAnsi="Garamond" w:cs="Times New Roman"/>
          <w:sz w:val="24"/>
          <w:szCs w:val="24"/>
        </w:rPr>
        <w:t xml:space="preserve"> </w:t>
      </w:r>
      <w:r w:rsidR="004F04AA">
        <w:rPr>
          <w:rFonts w:ascii="Garamond" w:hAnsi="Garamond" w:cs="Times New Roman"/>
          <w:sz w:val="24"/>
          <w:szCs w:val="24"/>
        </w:rPr>
        <w:fldChar w:fldCharType="begin" w:fldLock="1"/>
      </w:r>
      <w:r w:rsidR="00F877A8">
        <w:rPr>
          <w:rFonts w:ascii="Garamond" w:hAnsi="Garamond" w:cs="Times New Roman"/>
          <w:sz w:val="24"/>
          <w:szCs w:val="24"/>
        </w:rPr>
        <w:instrText>ADDIN CSL_CITATION {"citationItems":[{"id":"ITEM-1","itemData":{"DOI":"10.35878/jiose.v2i1.552","abstract":"Sharia banks in Indonesia are currently experiencing significant developments, these developments must be followed by regulations and good banking management, including handling problem financing. It is undeniable that the financing business in Islamic banking has the potential to experience financing problems. The greater the problematic financing faced by banks, will reduce the soundness level of Islamic banks, decrease the quality of financing and the soundness of banks affect financial liquidity and solvency, which can ultimately affect the trust of depositors and even prospective customers. Not only that, the greater the amount of non-performing financing, the greater the amount of costs for reserve funds that must be provided so that it has a negative impact on profitability, because the losses borne by the bank will reduce profits which ultimately have a negative impact on Islamic bank capital. Related to this, this research was conducted using a qualitative method to analyze the factors that cause problem financing, as well as strategies for preventing and resolving problem financing in Islamic banks and finally being able to provide information to all parties, especially Islamic bank practitioners, about ways or strategies for handling and also solving problem financing.","author":[{"dropping-particle":"","family":"Zahratunnisa","given":"Zahratunnisa","non-dropping-particle":"","parse-names":false,"suffix":""},{"dropping-particle":"","family":"Sari","given":"Khofifah Indar Mawar","non-dropping-particle":"","parse-names":false,"suffix":""},{"dropping-particle":"","family":"Fahira","given":"Jeby","non-dropping-particle":"","parse-names":false,"suffix":""}],"container-title":"JIOSE: Journal of Indonesian Sharia Economics","id":"ITEM-1","issue":"1","issued":{"date-parts":[["2023"]]},"page":"93-106","title":"Strategi Penanganan Pembiayaan Bermasalah di Bank Syariah","type":"article-journal","volume":"2"},"uris":["http://www.mendeley.com/documents/?uuid=aa6d4724-52e7-4194-8e1b-bb830b000d04","http://www.mendeley.com/documents/?uuid=c158f48d-a870-4220-984a-c6b140fd4791"]}],"mendeley":{"formattedCitation":"(Zahratunnisa et al. 2023)","plainTextFormattedCitation":"(Zahratunnisa et al. 2023)","previouslyFormattedCitation":"(Zahratunnisa et al. 2023)"},"properties":{"noteIndex":0},"schema":"https://github.com/citation-style-language/schema/raw/master/csl-citation.json"}</w:instrText>
      </w:r>
      <w:r w:rsidR="004F04AA">
        <w:rPr>
          <w:rFonts w:ascii="Garamond" w:hAnsi="Garamond" w:cs="Times New Roman"/>
          <w:sz w:val="24"/>
          <w:szCs w:val="24"/>
        </w:rPr>
        <w:fldChar w:fldCharType="separate"/>
      </w:r>
      <w:r w:rsidR="004F04AA" w:rsidRPr="004F04AA">
        <w:rPr>
          <w:rFonts w:ascii="Garamond" w:hAnsi="Garamond" w:cs="Times New Roman"/>
          <w:noProof/>
          <w:sz w:val="24"/>
          <w:szCs w:val="24"/>
        </w:rPr>
        <w:t>(Zahratunnisa et al. 2023)</w:t>
      </w:r>
      <w:r w:rsidR="004F04AA">
        <w:rPr>
          <w:rFonts w:ascii="Garamond" w:hAnsi="Garamond" w:cs="Times New Roman"/>
          <w:sz w:val="24"/>
          <w:szCs w:val="24"/>
        </w:rPr>
        <w:fldChar w:fldCharType="end"/>
      </w:r>
      <w:r>
        <w:rPr>
          <w:rFonts w:ascii="Garamond" w:hAnsi="Garamond" w:cs="Times New Roman"/>
          <w:sz w:val="24"/>
          <w:szCs w:val="24"/>
        </w:rPr>
        <w:t xml:space="preserve">. </w:t>
      </w:r>
      <w:r w:rsidR="0058686A" w:rsidRPr="0058686A">
        <w:rPr>
          <w:rFonts w:ascii="Garamond" w:hAnsi="Garamond" w:cs="Times New Roman"/>
          <w:sz w:val="24"/>
          <w:szCs w:val="24"/>
        </w:rPr>
        <w:t>However, the results of this study emphasize that the</w:t>
      </w:r>
      <w:r w:rsidR="0058686A">
        <w:rPr>
          <w:rFonts w:ascii="Garamond" w:hAnsi="Garamond" w:cs="Times New Roman"/>
          <w:sz w:val="24"/>
          <w:szCs w:val="24"/>
        </w:rPr>
        <w:t xml:space="preserve"> main factor causing non-performing </w:t>
      </w:r>
      <w:r w:rsidR="0058686A" w:rsidRPr="0058686A">
        <w:rPr>
          <w:rFonts w:ascii="Garamond" w:hAnsi="Garamond" w:cs="Times New Roman"/>
          <w:sz w:val="24"/>
          <w:szCs w:val="24"/>
        </w:rPr>
        <w:t>financing is the lack of attention and a sense of responsibility on the part of customers.</w:t>
      </w:r>
    </w:p>
    <w:p w14:paraId="35766CF2" w14:textId="532484BB" w:rsidR="008745B4" w:rsidRPr="00DA3604" w:rsidRDefault="00207218" w:rsidP="00DA3604">
      <w:pPr>
        <w:spacing w:after="0" w:line="276" w:lineRule="auto"/>
        <w:ind w:firstLine="567"/>
        <w:jc w:val="both"/>
        <w:rPr>
          <w:rFonts w:ascii="Garamond" w:hAnsi="Garamond"/>
          <w:sz w:val="24"/>
          <w:szCs w:val="24"/>
        </w:rPr>
      </w:pPr>
      <w:r w:rsidRPr="008745B4">
        <w:rPr>
          <w:rFonts w:ascii="Garamond" w:hAnsi="Garamond" w:cs="Times New Roman"/>
          <w:sz w:val="24"/>
          <w:szCs w:val="24"/>
        </w:rPr>
        <w:t xml:space="preserve">The factors that cause </w:t>
      </w:r>
      <w:r w:rsidR="00384142">
        <w:rPr>
          <w:rFonts w:ascii="Garamond" w:hAnsi="Garamond" w:cs="Times New Roman"/>
          <w:sz w:val="24"/>
          <w:szCs w:val="24"/>
        </w:rPr>
        <w:t>non-performing financing</w:t>
      </w:r>
      <w:r w:rsidRPr="008745B4">
        <w:rPr>
          <w:rFonts w:ascii="Garamond" w:hAnsi="Garamond" w:cs="Times New Roman"/>
          <w:sz w:val="24"/>
          <w:szCs w:val="24"/>
        </w:rPr>
        <w:t xml:space="preserve"> come from the relationship between internal and external factors. Customer negligence with its responsibilities needs to be a special concern and plays a major role in the cause of </w:t>
      </w:r>
      <w:r w:rsidR="00384142">
        <w:rPr>
          <w:rFonts w:ascii="Garamond" w:hAnsi="Garamond" w:cs="Times New Roman"/>
          <w:sz w:val="24"/>
          <w:szCs w:val="24"/>
        </w:rPr>
        <w:t>non-performing financing</w:t>
      </w:r>
      <w:r w:rsidRPr="008745B4">
        <w:rPr>
          <w:rFonts w:ascii="Garamond" w:hAnsi="Garamond" w:cs="Times New Roman"/>
          <w:sz w:val="24"/>
          <w:szCs w:val="24"/>
        </w:rPr>
        <w:t xml:space="preserve"> supported by uncertain economic conditions. Strategic steps to reduce the number of non-performing loans by providing information to customers and raising awareness about the importance of financial responsibility, </w:t>
      </w:r>
      <w:r w:rsidRPr="008745B4">
        <w:rPr>
          <w:rFonts w:ascii="Garamond" w:hAnsi="Garamond" w:cs="Times New Roman"/>
          <w:sz w:val="24"/>
          <w:szCs w:val="24"/>
        </w:rPr>
        <w:lastRenderedPageBreak/>
        <w:t>and financing principles must also continue to be evaluated and implemented properly. With an equitable approach, all parties can work together to improve financing performance and create a better relationship between financial institutions and customers.</w:t>
      </w:r>
    </w:p>
    <w:p w14:paraId="1B3E47EC" w14:textId="77777777" w:rsidR="008745B4" w:rsidRDefault="00207218" w:rsidP="00090236">
      <w:pPr>
        <w:spacing w:after="0" w:line="240" w:lineRule="auto"/>
        <w:jc w:val="both"/>
        <w:rPr>
          <w:rFonts w:ascii="Garamond" w:hAnsi="Garamond" w:cs="Times New Roman"/>
          <w:b/>
          <w:bCs/>
          <w:sz w:val="24"/>
          <w:szCs w:val="24"/>
        </w:rPr>
      </w:pPr>
      <w:r w:rsidRPr="008745B4">
        <w:rPr>
          <w:rFonts w:ascii="Garamond" w:hAnsi="Garamond" w:cs="Times New Roman"/>
          <w:b/>
          <w:bCs/>
          <w:sz w:val="24"/>
          <w:szCs w:val="24"/>
        </w:rPr>
        <w:t xml:space="preserve">Standard Operating Procedures for Handling </w:t>
      </w:r>
      <w:r w:rsidR="00384142">
        <w:rPr>
          <w:rFonts w:ascii="Garamond" w:hAnsi="Garamond" w:cs="Times New Roman"/>
          <w:b/>
          <w:bCs/>
          <w:sz w:val="24"/>
          <w:szCs w:val="24"/>
        </w:rPr>
        <w:t>Non- performing financing</w:t>
      </w:r>
      <w:r w:rsidRPr="008745B4">
        <w:rPr>
          <w:rFonts w:ascii="Garamond" w:hAnsi="Garamond" w:cs="Times New Roman"/>
          <w:b/>
          <w:bCs/>
          <w:sz w:val="24"/>
          <w:szCs w:val="24"/>
        </w:rPr>
        <w:t xml:space="preserve"> </w:t>
      </w:r>
    </w:p>
    <w:p w14:paraId="394A3652" w14:textId="2C3FE47B" w:rsidR="00DA3604" w:rsidRDefault="00207218" w:rsidP="00DA3604">
      <w:pPr>
        <w:spacing w:after="0" w:line="276" w:lineRule="auto"/>
        <w:ind w:firstLine="567"/>
        <w:jc w:val="both"/>
        <w:rPr>
          <w:rFonts w:ascii="Garamond" w:hAnsi="Garamond" w:cs="Times New Roman"/>
          <w:b/>
          <w:bCs/>
          <w:sz w:val="24"/>
          <w:szCs w:val="24"/>
        </w:rPr>
      </w:pPr>
      <w:r>
        <w:rPr>
          <w:rFonts w:ascii="Garamond" w:hAnsi="Garamond" w:cs="Times New Roman"/>
          <w:bCs/>
          <w:sz w:val="24"/>
          <w:szCs w:val="24"/>
        </w:rPr>
        <w:t xml:space="preserve">The first step that must be taken in resolving disputes is through peaceful means.  To achieve the essence of peace, the main principle that must be carried out is the recognition that the parties will return to Allah (Quran) and His Messenger (al-Sunnah) and solve all problems. These peace efforts are usually carried out through deliberation (shura) to reach an agreement between the parties to the conflict. The problems of the parties are expected to be resolved by considering prioritizing Sharia principles </w:t>
      </w:r>
      <w:r w:rsidRPr="005E40C2">
        <w:rPr>
          <w:rFonts w:ascii="Garamond" w:hAnsi="Garamond" w:cs="Times New Roman"/>
          <w:bCs/>
          <w:sz w:val="24"/>
          <w:szCs w:val="24"/>
        </w:rPr>
        <w:fldChar w:fldCharType="begin" w:fldLock="1"/>
      </w:r>
      <w:r w:rsidR="00F877A8">
        <w:rPr>
          <w:rFonts w:ascii="Garamond" w:hAnsi="Garamond" w:cs="Times New Roman"/>
          <w:bCs/>
          <w:sz w:val="24"/>
          <w:szCs w:val="24"/>
        </w:rPr>
        <w:instrText>ADDIN CSL_CITATION {"citationItems":[{"id":"ITEM-1","itemData":{"author":[{"dropping-particle":"","family":"Herdiati","given":"Neni","non-dropping-particle":"","parse-names":false,"suffix":""}],"container-title":"Transekonomika – Akuntansi Bisnis dan Keuangan","id":"ITEM-1","issue":"5","issued":{"date-parts":[["2021"]]},"page":"1-12","title":"Neni Hardiati, Sindi Widiana, Seproni Hidayat 2021","type":"article-journal","volume":"1"},"uris":["http://www.mendeley.com/documents/?uuid=db0a4d2c-f376-4599-9290-1fc6f5f59fa4","http://www.mendeley.com/documents/?uuid=ff241521-96b6-4e9f-9e1a-f2e8c81cb2b0"]}],"mendeley":{"formattedCitation":"(Herdiati 2021)","plainTextFormattedCitation":"(Herdiati 2021)","previouslyFormattedCitation":"(Herdiati 2021)"},"properties":{"noteIndex":0},"schema":"https://github.com/citation-style-language/schema/raw/master/csl-citation.json"}</w:instrText>
      </w:r>
      <w:r w:rsidRPr="005E40C2">
        <w:rPr>
          <w:rFonts w:ascii="Garamond" w:hAnsi="Garamond" w:cs="Times New Roman"/>
          <w:bCs/>
          <w:sz w:val="24"/>
          <w:szCs w:val="24"/>
        </w:rPr>
        <w:fldChar w:fldCharType="separate"/>
      </w:r>
      <w:r w:rsidR="0090100A" w:rsidRPr="0090100A">
        <w:rPr>
          <w:rFonts w:ascii="Garamond" w:hAnsi="Garamond" w:cs="Times New Roman"/>
          <w:bCs/>
          <w:noProof/>
          <w:sz w:val="24"/>
          <w:szCs w:val="24"/>
        </w:rPr>
        <w:t>(Herdiati 2021)</w:t>
      </w:r>
      <w:r w:rsidRPr="005E40C2">
        <w:rPr>
          <w:rFonts w:ascii="Garamond" w:hAnsi="Garamond" w:cs="Times New Roman"/>
          <w:bCs/>
          <w:sz w:val="24"/>
          <w:szCs w:val="24"/>
        </w:rPr>
        <w:fldChar w:fldCharType="end"/>
      </w:r>
      <w:r w:rsidRPr="005E40C2">
        <w:rPr>
          <w:rFonts w:ascii="Garamond" w:hAnsi="Garamond" w:cs="Times New Roman"/>
          <w:bCs/>
          <w:sz w:val="24"/>
          <w:szCs w:val="24"/>
        </w:rPr>
        <w:t>.</w:t>
      </w:r>
    </w:p>
    <w:p w14:paraId="63BCBD14" w14:textId="77777777" w:rsidR="00DA3604" w:rsidRDefault="00207218" w:rsidP="00DA3604">
      <w:pPr>
        <w:spacing w:after="0" w:line="276" w:lineRule="auto"/>
        <w:ind w:firstLine="567"/>
        <w:jc w:val="both"/>
        <w:rPr>
          <w:rFonts w:ascii="Garamond" w:hAnsi="Garamond" w:cs="Times New Roman"/>
          <w:b/>
          <w:bCs/>
          <w:sz w:val="24"/>
          <w:szCs w:val="24"/>
        </w:rPr>
      </w:pPr>
      <w:r>
        <w:rPr>
          <w:rFonts w:ascii="Garamond" w:hAnsi="Garamond" w:cstheme="majorBidi"/>
          <w:sz w:val="24"/>
          <w:szCs w:val="24"/>
        </w:rPr>
        <w:t xml:space="preserve">Based on the results of an interview with Muhammad Faisal Al Amien (Collection Division of BSI KC Palangka Raya Diponegoro), SOP: The first step that must be taken in non-litigation financing is to use a non-litigation route, namely being given a warning letter. This is done when the customer begins to neglect his obligations, starting from arrears in installments of 1 (one) month and so on. </w:t>
      </w:r>
      <w:r w:rsidR="00E36C2E">
        <w:rPr>
          <w:rFonts w:ascii="Garamond" w:hAnsi="Garamond" w:cstheme="majorBidi"/>
          <w:sz w:val="24"/>
          <w:szCs w:val="24"/>
        </w:rPr>
        <w:t xml:space="preserve">For customers who do not pay their installments on time, customers will be given a warning letter 1, a warning letter 2, and a warning letter 3. Warning letter 3 can be given again or subsequently given a deliberation summons letter intending to find a solution to the problems experienced by the customer so that the customer can pay off his arrears. The schedule of the deliberation meeting is determined by the Bank/collection division. If at the deliberation meeting, it is found that there is a consensus with the customer's commitment to pay the arrears/obligations, then minutes are made which are the basis for the Bank to collect the payment promise by the customer, if the customer does not attend the deliberation, the minutes are still made. If deliberation and consensus are also not found, a plaque or sticker will be installed on the collateral that reads "This Land and Building is Pledged at Bank Syariah Indonesia" based on a letter of assignment from Bank Syariah Indonesia. Then if it is not completed, the decision is returned to Bank Syariah Indonesia to use litigation channels such as settlement through auction, aanmaning (execution of guarantees), or </w:t>
      </w:r>
      <w:r w:rsidR="00384142">
        <w:rPr>
          <w:rFonts w:ascii="Garamond" w:hAnsi="Garamond" w:cstheme="majorBidi"/>
          <w:sz w:val="24"/>
          <w:szCs w:val="24"/>
        </w:rPr>
        <w:t>small claim court</w:t>
      </w:r>
      <w:r w:rsidR="00E36C2E">
        <w:rPr>
          <w:rFonts w:ascii="Garamond" w:hAnsi="Garamond" w:cstheme="majorBidi"/>
          <w:sz w:val="24"/>
          <w:szCs w:val="24"/>
        </w:rPr>
        <w:t>s</w:t>
      </w:r>
      <w:r w:rsidR="00E36C2E" w:rsidRPr="005E40C2">
        <w:rPr>
          <w:rFonts w:ascii="Garamond" w:hAnsi="Garamond" w:cstheme="majorBidi"/>
          <w:sz w:val="24"/>
          <w:szCs w:val="24"/>
        </w:rPr>
        <w:t xml:space="preserve"> </w:t>
      </w:r>
      <w:r w:rsidR="00A10C72" w:rsidRPr="005E40C2">
        <w:rPr>
          <w:rFonts w:ascii="Garamond" w:hAnsi="Garamond" w:cstheme="majorBidi"/>
          <w:sz w:val="24"/>
          <w:szCs w:val="24"/>
        </w:rPr>
        <w:t>(Muhammad Faisal Al Amien, 2024).</w:t>
      </w:r>
    </w:p>
    <w:p w14:paraId="65D59889" w14:textId="77777777" w:rsidR="00DA3604" w:rsidRDefault="00207218" w:rsidP="00DA3604">
      <w:pPr>
        <w:spacing w:after="0" w:line="276" w:lineRule="auto"/>
        <w:ind w:firstLine="567"/>
        <w:jc w:val="both"/>
        <w:rPr>
          <w:rFonts w:ascii="Garamond" w:hAnsi="Garamond" w:cs="Times New Roman"/>
          <w:b/>
          <w:bCs/>
          <w:sz w:val="24"/>
          <w:szCs w:val="24"/>
        </w:rPr>
      </w:pPr>
      <w:r>
        <w:rPr>
          <w:rFonts w:ascii="Garamond" w:hAnsi="Garamond" w:cs="Times New Roman"/>
          <w:sz w:val="24"/>
          <w:szCs w:val="24"/>
        </w:rPr>
        <w:t>The mechanism for handling non-performing financing at Bank Syariah Indonesia (BSI) is carried out with a gradual approach. When a customer fails to pay the due installments, the Bank sends a series of warning letters, ranging from the first to the third warning letter. This gradual approach reflects the principles of prudence and fairness, providing an opportunity for clients to rectify the situation before further steps are taken, in line with Sharia values that prioritize justice and humanity. After the third warning letter, the Bank invites customers to deliberate to reach a consensus and commitment to pay arrears. This dialogical approach demonstrates the Bank's commitment to solving problems collaboratively, not just collecting customer obligations, but also building good relationships with customers.</w:t>
      </w:r>
    </w:p>
    <w:p w14:paraId="6E9F465C" w14:textId="77777777" w:rsidR="00DA3604" w:rsidRDefault="00207218" w:rsidP="00DA3604">
      <w:pPr>
        <w:spacing w:after="0" w:line="276" w:lineRule="auto"/>
        <w:ind w:firstLine="567"/>
        <w:jc w:val="both"/>
        <w:rPr>
          <w:rFonts w:ascii="Garamond" w:hAnsi="Garamond" w:cs="Times New Roman"/>
          <w:b/>
          <w:bCs/>
          <w:sz w:val="24"/>
          <w:szCs w:val="24"/>
        </w:rPr>
      </w:pPr>
      <w:r>
        <w:rPr>
          <w:rFonts w:ascii="Garamond" w:hAnsi="Garamond" w:cs="Times New Roman"/>
          <w:sz w:val="24"/>
          <w:szCs w:val="24"/>
        </w:rPr>
        <w:t xml:space="preserve">Good documentation reflects the principle of transparency through the minutes of the deliberations, protecting the Bank's rights and evidence if further steps are taken. If the deliberations do not reach an agreement, the Bank can take further actions such as installing plaques or stickers on the collateral as a visual warning. If all non-litigation efforts fail, the decision will be </w:t>
      </w:r>
      <w:r>
        <w:rPr>
          <w:rFonts w:ascii="Garamond" w:hAnsi="Garamond" w:cs="Times New Roman"/>
          <w:sz w:val="24"/>
          <w:szCs w:val="24"/>
        </w:rPr>
        <w:lastRenderedPageBreak/>
        <w:t xml:space="preserve">returned to BSI for litigation steps such as auctions, execution of guarantees, or </w:t>
      </w:r>
      <w:r w:rsidR="00384142">
        <w:rPr>
          <w:rFonts w:ascii="Garamond" w:hAnsi="Garamond" w:cs="Times New Roman"/>
          <w:sz w:val="24"/>
          <w:szCs w:val="24"/>
        </w:rPr>
        <w:t>small claim court</w:t>
      </w:r>
      <w:r>
        <w:rPr>
          <w:rFonts w:ascii="Garamond" w:hAnsi="Garamond" w:cs="Times New Roman"/>
          <w:sz w:val="24"/>
          <w:szCs w:val="24"/>
        </w:rPr>
        <w:t>s. This approach shows a clear settlement path, providing flexibility in handling non-performing financing.</w:t>
      </w:r>
    </w:p>
    <w:p w14:paraId="132054B1" w14:textId="7A06B6C9" w:rsidR="00E36C2E" w:rsidRPr="00DA3604" w:rsidRDefault="00207218" w:rsidP="00DA3604">
      <w:pPr>
        <w:spacing w:after="0" w:line="276" w:lineRule="auto"/>
        <w:ind w:firstLine="567"/>
        <w:jc w:val="both"/>
        <w:rPr>
          <w:rFonts w:ascii="Garamond" w:hAnsi="Garamond" w:cs="Times New Roman"/>
          <w:b/>
          <w:bCs/>
          <w:sz w:val="24"/>
          <w:szCs w:val="24"/>
        </w:rPr>
      </w:pPr>
      <w:r w:rsidRPr="00E36C2E">
        <w:rPr>
          <w:rFonts w:ascii="Garamond" w:hAnsi="Garamond" w:cs="Times New Roman"/>
          <w:sz w:val="24"/>
          <w:szCs w:val="24"/>
        </w:rPr>
        <w:t xml:space="preserve">Good documentation reflects the principle of transparency through the minutes of the deliberations, protecting the Bank's rights and evidence if further steps are taken. If the deliberations do not reach an agreement, the Bank can take further actions such as installing plaques or stickers on the collateral as a visual warning. If all non-litigation efforts fail, the decision will be returned to BSI for litigation steps such as auctions, execution of guarantees, or </w:t>
      </w:r>
      <w:r w:rsidR="00384142">
        <w:rPr>
          <w:rFonts w:ascii="Garamond" w:hAnsi="Garamond" w:cs="Times New Roman"/>
          <w:sz w:val="24"/>
          <w:szCs w:val="24"/>
        </w:rPr>
        <w:t>small claim court</w:t>
      </w:r>
      <w:r w:rsidRPr="00E36C2E">
        <w:rPr>
          <w:rFonts w:ascii="Garamond" w:hAnsi="Garamond" w:cs="Times New Roman"/>
          <w:sz w:val="24"/>
          <w:szCs w:val="24"/>
        </w:rPr>
        <w:t>s. This approach shows a clear settlement path, providing flexibility in handling non-performing financing.</w:t>
      </w:r>
    </w:p>
    <w:p w14:paraId="5A5DCB43" w14:textId="77777777" w:rsidR="00E36C2E" w:rsidRDefault="0091380C" w:rsidP="00090236">
      <w:pPr>
        <w:spacing w:after="0" w:line="240" w:lineRule="auto"/>
        <w:jc w:val="both"/>
        <w:rPr>
          <w:rFonts w:ascii="Garamond" w:hAnsi="Garamond" w:cs="Times New Roman"/>
          <w:b/>
          <w:bCs/>
          <w:sz w:val="24"/>
          <w:szCs w:val="24"/>
        </w:rPr>
      </w:pPr>
      <w:r>
        <w:rPr>
          <w:rFonts w:ascii="Garamond" w:hAnsi="Garamond" w:cs="Times New Roman"/>
          <w:b/>
          <w:bCs/>
          <w:sz w:val="24"/>
          <w:szCs w:val="24"/>
        </w:rPr>
        <w:t xml:space="preserve">The </w:t>
      </w:r>
      <w:r w:rsidR="00E42CCB">
        <w:rPr>
          <w:rFonts w:ascii="Garamond" w:hAnsi="Garamond" w:cs="Times New Roman"/>
          <w:b/>
          <w:bCs/>
          <w:sz w:val="24"/>
          <w:szCs w:val="24"/>
        </w:rPr>
        <w:t xml:space="preserve">Process </w:t>
      </w:r>
      <w:r>
        <w:rPr>
          <w:rFonts w:ascii="Garamond" w:hAnsi="Garamond" w:cs="Times New Roman"/>
          <w:b/>
          <w:bCs/>
          <w:sz w:val="24"/>
          <w:szCs w:val="24"/>
        </w:rPr>
        <w:t xml:space="preserve">and Effectiveness </w:t>
      </w:r>
      <w:r w:rsidR="00E42CCB">
        <w:rPr>
          <w:rFonts w:ascii="Garamond" w:hAnsi="Garamond" w:cs="Times New Roman"/>
          <w:b/>
          <w:bCs/>
          <w:sz w:val="24"/>
          <w:szCs w:val="24"/>
        </w:rPr>
        <w:t>of  the Resolution of</w:t>
      </w:r>
      <w:r w:rsidR="00207218">
        <w:rPr>
          <w:rFonts w:ascii="Garamond" w:hAnsi="Garamond" w:cs="Times New Roman"/>
          <w:b/>
          <w:bCs/>
          <w:sz w:val="24"/>
          <w:szCs w:val="24"/>
        </w:rPr>
        <w:t xml:space="preserve"> Non-Performing</w:t>
      </w:r>
      <w:r w:rsidR="00207218" w:rsidRPr="00E36C2E">
        <w:rPr>
          <w:rFonts w:ascii="Garamond" w:hAnsi="Garamond" w:cs="Times New Roman"/>
          <w:b/>
          <w:bCs/>
          <w:sz w:val="24"/>
          <w:szCs w:val="24"/>
        </w:rPr>
        <w:t xml:space="preserve"> Financing Through Small Claim Court</w:t>
      </w:r>
    </w:p>
    <w:p w14:paraId="5B4BB5AF" w14:textId="77777777" w:rsidR="00A10C72" w:rsidRPr="00ED0DE9" w:rsidRDefault="00207218" w:rsidP="00DA3604">
      <w:pPr>
        <w:spacing w:after="0" w:line="276" w:lineRule="auto"/>
        <w:ind w:firstLine="567"/>
        <w:jc w:val="both"/>
        <w:rPr>
          <w:rFonts w:ascii="Garamond" w:hAnsi="Garamond" w:cstheme="majorBidi"/>
          <w:sz w:val="24"/>
          <w:szCs w:val="24"/>
          <w:lang w:eastAsia="zh-CN"/>
        </w:rPr>
      </w:pPr>
      <w:r w:rsidRPr="00ED0DE9">
        <w:rPr>
          <w:rFonts w:ascii="Garamond" w:hAnsi="Garamond" w:cstheme="majorBidi"/>
          <w:sz w:val="24"/>
          <w:szCs w:val="24"/>
          <w:lang w:eastAsia="zh-CN"/>
        </w:rPr>
        <w:t xml:space="preserve">The flow of a </w:t>
      </w:r>
      <w:r w:rsidR="00384142">
        <w:rPr>
          <w:rFonts w:ascii="Garamond" w:hAnsi="Garamond" w:cstheme="majorBidi"/>
          <w:sz w:val="24"/>
          <w:szCs w:val="24"/>
          <w:lang w:eastAsia="zh-CN"/>
        </w:rPr>
        <w:t>small claim court</w:t>
      </w:r>
      <w:r w:rsidRPr="00ED0DE9">
        <w:rPr>
          <w:rFonts w:ascii="Garamond" w:hAnsi="Garamond" w:cstheme="majorBidi"/>
          <w:sz w:val="24"/>
          <w:szCs w:val="24"/>
          <w:lang w:eastAsia="zh-CN"/>
        </w:rPr>
        <w:t xml:space="preserve"> based on the Regulation of the Supreme Court of the Republic of Indonesia Number 4 of 2019, the most crucial stage is a preliminary examination because the judge has the authority to assess and determine the case, including a </w:t>
      </w:r>
      <w:r w:rsidR="00384142">
        <w:rPr>
          <w:rFonts w:ascii="Garamond" w:hAnsi="Garamond" w:cstheme="majorBidi"/>
          <w:sz w:val="24"/>
          <w:szCs w:val="24"/>
          <w:lang w:eastAsia="zh-CN"/>
        </w:rPr>
        <w:t>small claim court</w:t>
      </w:r>
      <w:r w:rsidRPr="00ED0DE9">
        <w:rPr>
          <w:rFonts w:ascii="Garamond" w:hAnsi="Garamond" w:cstheme="majorBidi"/>
          <w:sz w:val="24"/>
          <w:szCs w:val="24"/>
          <w:lang w:eastAsia="zh-CN"/>
        </w:rPr>
        <w:t xml:space="preserve"> or not</w:t>
      </w:r>
      <w:r>
        <w:rPr>
          <w:rFonts w:ascii="Garamond" w:hAnsi="Garamond" w:cstheme="majorBidi"/>
          <w:sz w:val="24"/>
          <w:szCs w:val="24"/>
          <w:lang w:eastAsia="zh-CN"/>
        </w:rPr>
        <w:t xml:space="preserve">. </w:t>
      </w:r>
      <w:r w:rsidRPr="00ED0DE9">
        <w:rPr>
          <w:rFonts w:ascii="Garamond" w:hAnsi="Garamond" w:cstheme="majorBidi"/>
          <w:sz w:val="24"/>
          <w:szCs w:val="24"/>
          <w:lang w:eastAsia="zh-CN"/>
        </w:rPr>
        <w:t xml:space="preserve">If in the examination of the judge's arguments, it is stated that the case is not a </w:t>
      </w:r>
      <w:r w:rsidR="00384142">
        <w:rPr>
          <w:rFonts w:ascii="Garamond" w:hAnsi="Garamond" w:cstheme="majorBidi"/>
          <w:sz w:val="24"/>
          <w:szCs w:val="24"/>
          <w:lang w:eastAsia="zh-CN"/>
        </w:rPr>
        <w:t>small claim court</w:t>
      </w:r>
      <w:r w:rsidRPr="00ED0DE9">
        <w:rPr>
          <w:rFonts w:ascii="Garamond" w:hAnsi="Garamond" w:cstheme="majorBidi"/>
          <w:sz w:val="24"/>
          <w:szCs w:val="24"/>
          <w:lang w:eastAsia="zh-CN"/>
        </w:rPr>
        <w:t xml:space="preserve">, the judge determines that it is not a </w:t>
      </w:r>
      <w:r w:rsidR="00384142">
        <w:rPr>
          <w:rFonts w:ascii="Garamond" w:hAnsi="Garamond" w:cstheme="majorBidi"/>
          <w:sz w:val="24"/>
          <w:szCs w:val="24"/>
          <w:lang w:eastAsia="zh-CN"/>
        </w:rPr>
        <w:t>small claim court</w:t>
      </w:r>
      <w:r w:rsidRPr="00ED0DE9">
        <w:rPr>
          <w:rFonts w:ascii="Garamond" w:hAnsi="Garamond" w:cstheme="majorBidi"/>
          <w:sz w:val="24"/>
          <w:szCs w:val="24"/>
          <w:lang w:eastAsia="zh-CN"/>
        </w:rPr>
        <w:t>, the case register is crossed out and the remaining case costs are returned to the plaintiff. Objections can be submitted no later than 7 (seven) days after the verdict is read. The panel of judges gives the final verdict, so there are no more legal remedies for appeal, cassation, and review.</w:t>
      </w:r>
      <w:r w:rsidR="009B6D9E">
        <w:rPr>
          <w:rFonts w:ascii="Garamond" w:hAnsi="Garamond" w:cstheme="majorBidi"/>
          <w:sz w:val="24"/>
          <w:szCs w:val="24"/>
          <w:lang w:eastAsia="zh-CN"/>
        </w:rPr>
        <w:t xml:space="preserve"> </w:t>
      </w:r>
    </w:p>
    <w:p w14:paraId="0285ED72" w14:textId="19D65F78" w:rsidR="00A10C72" w:rsidRDefault="000F463D" w:rsidP="00090236">
      <w:pPr>
        <w:spacing w:before="120" w:after="120" w:line="360" w:lineRule="auto"/>
        <w:ind w:firstLine="720"/>
        <w:jc w:val="center"/>
        <w:rPr>
          <w:rFonts w:ascii="Garamond" w:hAnsi="Garamond" w:cstheme="majorBidi"/>
          <w:bCs/>
          <w:sz w:val="20"/>
          <w:szCs w:val="20"/>
          <w:lang w:eastAsia="zh-CN"/>
        </w:rPr>
      </w:pPr>
      <w:r w:rsidRPr="00CB5ADD">
        <w:rPr>
          <w:rFonts w:ascii="Garamond" w:hAnsi="Garamond" w:cstheme="majorBidi"/>
          <w:bCs/>
          <w:sz w:val="20"/>
          <w:szCs w:val="20"/>
          <w:lang w:eastAsia="zh-CN"/>
        </w:rPr>
        <w:t xml:space="preserve">Figure 1. </w:t>
      </w:r>
      <w:r w:rsidR="00207218" w:rsidRPr="00CB5ADD">
        <w:rPr>
          <w:rFonts w:ascii="Garamond" w:hAnsi="Garamond" w:cstheme="majorBidi"/>
          <w:bCs/>
          <w:sz w:val="20"/>
          <w:szCs w:val="20"/>
          <w:lang w:eastAsia="zh-CN"/>
        </w:rPr>
        <w:t xml:space="preserve">Small </w:t>
      </w:r>
      <w:r w:rsidR="00CB5ADD" w:rsidRPr="00CB5ADD">
        <w:rPr>
          <w:rFonts w:ascii="Garamond" w:hAnsi="Garamond" w:cstheme="majorBidi"/>
          <w:bCs/>
          <w:sz w:val="20"/>
          <w:szCs w:val="20"/>
          <w:lang w:eastAsia="zh-CN"/>
        </w:rPr>
        <w:t xml:space="preserve">Claim Court Flow Or Process </w:t>
      </w:r>
    </w:p>
    <w:p w14:paraId="50194088" w14:textId="1155CC65" w:rsidR="00CB5ADD" w:rsidRPr="00CB5ADD" w:rsidRDefault="00CB5ADD" w:rsidP="00090236">
      <w:pPr>
        <w:spacing w:before="120" w:after="120" w:line="360" w:lineRule="auto"/>
        <w:ind w:firstLine="720"/>
        <w:jc w:val="center"/>
        <w:rPr>
          <w:rFonts w:ascii="Garamond" w:hAnsi="Garamond" w:cstheme="majorBidi"/>
          <w:bCs/>
          <w:sz w:val="20"/>
          <w:szCs w:val="20"/>
          <w:lang w:eastAsia="zh-CN"/>
        </w:rPr>
      </w:pPr>
      <w:r>
        <w:rPr>
          <w:rFonts w:ascii="Garamond" w:hAnsi="Garamond" w:cstheme="majorBidi"/>
          <w:bCs/>
          <w:noProof/>
          <w:sz w:val="20"/>
          <w:szCs w:val="20"/>
          <w:lang w:eastAsia="zh-CN"/>
        </w:rPr>
        <w:drawing>
          <wp:inline distT="0" distB="0" distL="0" distR="0" wp14:anchorId="238F0A39" wp14:editId="153A368B">
            <wp:extent cx="5087060" cy="2476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087060" cy="2476846"/>
                    </a:xfrm>
                    <a:prstGeom prst="rect">
                      <a:avLst/>
                    </a:prstGeom>
                  </pic:spPr>
                </pic:pic>
              </a:graphicData>
            </a:graphic>
          </wp:inline>
        </w:drawing>
      </w:r>
    </w:p>
    <w:bookmarkEnd w:id="2"/>
    <w:p w14:paraId="3A249795" w14:textId="5016D3D4" w:rsidR="00A10C72" w:rsidRPr="0056698B" w:rsidRDefault="00207218" w:rsidP="0056698B">
      <w:pPr>
        <w:spacing w:before="120" w:after="120" w:line="240" w:lineRule="auto"/>
        <w:jc w:val="center"/>
        <w:rPr>
          <w:rFonts w:ascii="Garamond" w:hAnsi="Garamond" w:cs="Times New Roman"/>
          <w:i/>
          <w:iCs/>
          <w:sz w:val="24"/>
          <w:szCs w:val="24"/>
        </w:rPr>
      </w:pPr>
      <w:r w:rsidRPr="0056698B">
        <w:rPr>
          <w:rFonts w:ascii="Garamond" w:hAnsi="Garamond" w:cs="Times New Roman"/>
          <w:i/>
          <w:iCs/>
          <w:sz w:val="24"/>
          <w:szCs w:val="24"/>
        </w:rPr>
        <w:t xml:space="preserve">Source: </w:t>
      </w:r>
      <w:hyperlink r:id="rId10" w:history="1">
        <w:r w:rsidRPr="0056698B">
          <w:rPr>
            <w:rStyle w:val="Hyperlink"/>
            <w:rFonts w:ascii="Garamond" w:hAnsi="Garamond" w:cs="Times New Roman"/>
            <w:i/>
            <w:iCs/>
            <w:color w:val="auto"/>
            <w:sz w:val="24"/>
            <w:szCs w:val="24"/>
            <w:u w:val="none"/>
          </w:rPr>
          <w:t>pa-palangkaraya.go.id</w:t>
        </w:r>
      </w:hyperlink>
      <w:r w:rsidRPr="0056698B">
        <w:rPr>
          <w:rFonts w:ascii="Garamond" w:hAnsi="Garamond" w:cs="Times New Roman"/>
          <w:i/>
          <w:iCs/>
          <w:sz w:val="24"/>
          <w:szCs w:val="24"/>
        </w:rPr>
        <w:t xml:space="preserve"> </w:t>
      </w:r>
    </w:p>
    <w:p w14:paraId="28D80692" w14:textId="77777777" w:rsidR="00A214D9" w:rsidRPr="005E40C2" w:rsidRDefault="00207218" w:rsidP="00DA3604">
      <w:pPr>
        <w:spacing w:after="0" w:line="276" w:lineRule="auto"/>
        <w:ind w:firstLine="567"/>
        <w:jc w:val="both"/>
        <w:rPr>
          <w:rFonts w:ascii="Garamond" w:hAnsi="Garamond" w:cstheme="majorBidi"/>
          <w:sz w:val="24"/>
          <w:szCs w:val="24"/>
        </w:rPr>
      </w:pPr>
      <w:r>
        <w:rPr>
          <w:rFonts w:ascii="Garamond" w:hAnsi="Garamond" w:cstheme="majorBidi"/>
          <w:sz w:val="24"/>
          <w:szCs w:val="24"/>
        </w:rPr>
        <w:t xml:space="preserve">In the first stage the Bank fills out a </w:t>
      </w:r>
      <w:r w:rsidR="00384142">
        <w:rPr>
          <w:rFonts w:ascii="Garamond" w:hAnsi="Garamond" w:cstheme="majorBidi"/>
          <w:sz w:val="24"/>
          <w:szCs w:val="24"/>
        </w:rPr>
        <w:t>small claim court</w:t>
      </w:r>
      <w:r>
        <w:rPr>
          <w:rFonts w:ascii="Garamond" w:hAnsi="Garamond" w:cstheme="majorBidi"/>
          <w:sz w:val="24"/>
          <w:szCs w:val="24"/>
        </w:rPr>
        <w:t xml:space="preserve"> registration form containing the identity and information of the Bank's assignment to employees who are given a special power of attorney and the assignment to represent the Bank is hereinafter called the plaintiff and the troubled financing customer is hereinafter referred to as the defendant, the reason for the plaintiff to file a </w:t>
      </w:r>
      <w:r w:rsidR="00384142">
        <w:rPr>
          <w:rFonts w:ascii="Garamond" w:hAnsi="Garamond" w:cstheme="majorBidi"/>
          <w:sz w:val="24"/>
          <w:szCs w:val="24"/>
        </w:rPr>
        <w:lastRenderedPageBreak/>
        <w:t>small claim court</w:t>
      </w:r>
      <w:r>
        <w:rPr>
          <w:rFonts w:ascii="Garamond" w:hAnsi="Garamond" w:cstheme="majorBidi"/>
          <w:sz w:val="24"/>
          <w:szCs w:val="24"/>
        </w:rPr>
        <w:t xml:space="preserve"> is explained by answering several questions such as the statement that the customer has broken the promise, the time of the agreement,  the form of the agreement, the things that are agreed and the things that are violated by the defendant. Witnesses along with testimony submitted applications for examination, trial, and decision by the plaintiff's testimony</w:t>
      </w:r>
      <w:r w:rsidR="00A10C72" w:rsidRPr="005E40C2">
        <w:rPr>
          <w:rFonts w:ascii="Garamond" w:hAnsi="Garamond" w:cstheme="majorBidi"/>
          <w:sz w:val="24"/>
          <w:szCs w:val="24"/>
        </w:rPr>
        <w:t xml:space="preserve">. </w:t>
      </w:r>
    </w:p>
    <w:p w14:paraId="0280E7E8" w14:textId="77777777" w:rsidR="00A10C72" w:rsidRPr="0056698B" w:rsidRDefault="00207218" w:rsidP="0056698B">
      <w:pPr>
        <w:spacing w:before="120" w:after="120" w:line="240" w:lineRule="auto"/>
        <w:jc w:val="center"/>
        <w:rPr>
          <w:rFonts w:ascii="Garamond" w:hAnsi="Garamond" w:cstheme="majorBidi"/>
          <w:bCs/>
          <w:sz w:val="20"/>
          <w:szCs w:val="20"/>
        </w:rPr>
      </w:pPr>
      <w:r w:rsidRPr="0056698B">
        <w:rPr>
          <w:rFonts w:ascii="Garamond" w:hAnsi="Garamond" w:cstheme="majorBidi"/>
          <w:bCs/>
          <w:sz w:val="20"/>
          <w:szCs w:val="20"/>
        </w:rPr>
        <w:t>Table 2. Letter Evidence</w:t>
      </w:r>
    </w:p>
    <w:tbl>
      <w:tblPr>
        <w:tblStyle w:val="TableGrid"/>
        <w:tblW w:w="0" w:type="auto"/>
        <w:jc w:val="center"/>
        <w:tblLook w:val="04A0" w:firstRow="1" w:lastRow="0" w:firstColumn="1" w:lastColumn="0" w:noHBand="0" w:noVBand="1"/>
      </w:tblPr>
      <w:tblGrid>
        <w:gridCol w:w="471"/>
        <w:gridCol w:w="3637"/>
        <w:gridCol w:w="810"/>
      </w:tblGrid>
      <w:tr w:rsidR="00A26235" w14:paraId="54E66007" w14:textId="77777777" w:rsidTr="0017323B">
        <w:trPr>
          <w:trHeight w:val="1421"/>
          <w:jc w:val="center"/>
        </w:trPr>
        <w:tc>
          <w:tcPr>
            <w:tcW w:w="471" w:type="dxa"/>
          </w:tcPr>
          <w:p w14:paraId="264D7318"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a)</w:t>
            </w:r>
          </w:p>
        </w:tc>
        <w:tc>
          <w:tcPr>
            <w:tcW w:w="3637" w:type="dxa"/>
          </w:tcPr>
          <w:p w14:paraId="044521F6" w14:textId="77777777" w:rsidR="0017323B" w:rsidRPr="005E40C2" w:rsidRDefault="00207218" w:rsidP="003D46D6">
            <w:pPr>
              <w:spacing w:line="360" w:lineRule="auto"/>
              <w:jc w:val="both"/>
              <w:rPr>
                <w:rFonts w:ascii="Garamond" w:hAnsi="Garamond" w:cstheme="majorBidi"/>
                <w:sz w:val="24"/>
                <w:szCs w:val="24"/>
              </w:rPr>
            </w:pPr>
            <w:r w:rsidRPr="00F77390">
              <w:rPr>
                <w:rFonts w:ascii="Garamond" w:hAnsi="Garamond" w:cstheme="majorBidi"/>
                <w:sz w:val="24"/>
                <w:szCs w:val="24"/>
              </w:rPr>
              <w:t>Ib Micro Financing Application Application (proof that the defendant made a financing application).</w:t>
            </w:r>
          </w:p>
        </w:tc>
        <w:tc>
          <w:tcPr>
            <w:tcW w:w="810" w:type="dxa"/>
          </w:tcPr>
          <w:p w14:paraId="6B34945C" w14:textId="77777777" w:rsidR="0017323B" w:rsidRPr="005E40C2" w:rsidRDefault="0017323B" w:rsidP="00A10C72">
            <w:pPr>
              <w:spacing w:line="360" w:lineRule="auto"/>
              <w:rPr>
                <w:rFonts w:ascii="Garamond" w:hAnsi="Garamond" w:cstheme="majorBidi"/>
                <w:sz w:val="24"/>
                <w:szCs w:val="24"/>
              </w:rPr>
            </w:pPr>
          </w:p>
          <w:p w14:paraId="5B2C7DE3" w14:textId="77777777" w:rsidR="0017323B" w:rsidRPr="005E40C2" w:rsidRDefault="00207218" w:rsidP="00A10C72">
            <w:pPr>
              <w:spacing w:line="360" w:lineRule="auto"/>
              <w:jc w:val="center"/>
              <w:rPr>
                <w:rFonts w:ascii="Garamond" w:hAnsi="Garamond" w:cstheme="majorBidi"/>
                <w:sz w:val="24"/>
                <w:szCs w:val="24"/>
              </w:rPr>
            </w:pPr>
            <w:r>
              <w:rPr>
                <w:rFonts w:ascii="Garamond" w:hAnsi="Garamond" w:cstheme="majorBidi"/>
                <w:sz w:val="24"/>
                <w:szCs w:val="24"/>
              </w:rPr>
              <w:t>Proof</w:t>
            </w:r>
            <w:r w:rsidRPr="005E40C2">
              <w:rPr>
                <w:rFonts w:ascii="Garamond" w:hAnsi="Garamond" w:cstheme="majorBidi"/>
                <w:sz w:val="24"/>
                <w:szCs w:val="24"/>
              </w:rPr>
              <w:t xml:space="preserve"> P - 1</w:t>
            </w:r>
          </w:p>
        </w:tc>
      </w:tr>
      <w:tr w:rsidR="00A26235" w14:paraId="2BBF7F58" w14:textId="77777777" w:rsidTr="0017323B">
        <w:trPr>
          <w:jc w:val="center"/>
        </w:trPr>
        <w:tc>
          <w:tcPr>
            <w:tcW w:w="471" w:type="dxa"/>
          </w:tcPr>
          <w:p w14:paraId="24FEE255"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b)</w:t>
            </w:r>
          </w:p>
        </w:tc>
        <w:tc>
          <w:tcPr>
            <w:tcW w:w="3637" w:type="dxa"/>
          </w:tcPr>
          <w:p w14:paraId="613D9F08" w14:textId="77777777" w:rsidR="0017323B" w:rsidRPr="005E40C2" w:rsidRDefault="00207218" w:rsidP="003D46D6">
            <w:pPr>
              <w:spacing w:line="360" w:lineRule="auto"/>
              <w:jc w:val="both"/>
              <w:rPr>
                <w:rFonts w:ascii="Garamond" w:hAnsi="Garamond" w:cstheme="majorBidi"/>
                <w:sz w:val="24"/>
                <w:szCs w:val="24"/>
              </w:rPr>
            </w:pPr>
            <w:r w:rsidRPr="00F77390">
              <w:rPr>
                <w:rFonts w:ascii="Garamond" w:hAnsi="Garamond" w:cstheme="majorBidi"/>
                <w:sz w:val="24"/>
                <w:szCs w:val="24"/>
              </w:rPr>
              <w:t>Murabahah Financing Principle Approval Letter (SP3) (proof that the defendant has approved the financing)</w:t>
            </w:r>
          </w:p>
        </w:tc>
        <w:tc>
          <w:tcPr>
            <w:tcW w:w="810" w:type="dxa"/>
          </w:tcPr>
          <w:p w14:paraId="140AF30A" w14:textId="77777777" w:rsidR="0017323B" w:rsidRPr="005E40C2" w:rsidRDefault="0017323B" w:rsidP="00A10C72">
            <w:pPr>
              <w:spacing w:line="360" w:lineRule="auto"/>
              <w:jc w:val="center"/>
              <w:rPr>
                <w:rFonts w:ascii="Garamond" w:hAnsi="Garamond" w:cstheme="majorBidi"/>
                <w:sz w:val="24"/>
                <w:szCs w:val="24"/>
              </w:rPr>
            </w:pPr>
          </w:p>
          <w:p w14:paraId="031A8726"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- 2</w:t>
            </w:r>
          </w:p>
        </w:tc>
      </w:tr>
      <w:tr w:rsidR="00A26235" w14:paraId="4810E7FF" w14:textId="77777777" w:rsidTr="0017323B">
        <w:trPr>
          <w:jc w:val="center"/>
        </w:trPr>
        <w:tc>
          <w:tcPr>
            <w:tcW w:w="471" w:type="dxa"/>
          </w:tcPr>
          <w:p w14:paraId="6C8511D5"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c)</w:t>
            </w:r>
          </w:p>
        </w:tc>
        <w:tc>
          <w:tcPr>
            <w:tcW w:w="3637" w:type="dxa"/>
          </w:tcPr>
          <w:p w14:paraId="480A186E" w14:textId="77777777" w:rsidR="0017323B" w:rsidRPr="005E40C2" w:rsidRDefault="00207218" w:rsidP="003D46D6">
            <w:pPr>
              <w:spacing w:line="360" w:lineRule="auto"/>
              <w:jc w:val="both"/>
              <w:rPr>
                <w:rFonts w:ascii="Garamond" w:hAnsi="Garamond" w:cstheme="majorBidi"/>
                <w:sz w:val="24"/>
                <w:szCs w:val="24"/>
              </w:rPr>
            </w:pPr>
            <w:r>
              <w:rPr>
                <w:rFonts w:ascii="Garamond" w:hAnsi="Garamond" w:cstheme="majorBidi"/>
                <w:sz w:val="24"/>
                <w:szCs w:val="24"/>
              </w:rPr>
              <w:t>Financing Principle Approval Letter (SP3) (proof of restructuring)</w:t>
            </w:r>
          </w:p>
        </w:tc>
        <w:tc>
          <w:tcPr>
            <w:tcW w:w="810" w:type="dxa"/>
          </w:tcPr>
          <w:p w14:paraId="46581E22" w14:textId="77777777" w:rsidR="0017323B" w:rsidRPr="005E40C2" w:rsidRDefault="0017323B" w:rsidP="00A10C72">
            <w:pPr>
              <w:spacing w:line="360" w:lineRule="auto"/>
              <w:jc w:val="center"/>
              <w:rPr>
                <w:rFonts w:ascii="Garamond" w:hAnsi="Garamond" w:cstheme="majorBidi"/>
                <w:sz w:val="24"/>
                <w:szCs w:val="24"/>
              </w:rPr>
            </w:pPr>
          </w:p>
          <w:p w14:paraId="3D88E6F4"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3</w:t>
            </w:r>
          </w:p>
        </w:tc>
      </w:tr>
      <w:tr w:rsidR="00A26235" w14:paraId="55711A6D" w14:textId="77777777" w:rsidTr="0017323B">
        <w:trPr>
          <w:jc w:val="center"/>
        </w:trPr>
        <w:tc>
          <w:tcPr>
            <w:tcW w:w="471" w:type="dxa"/>
          </w:tcPr>
          <w:p w14:paraId="4BA0F4CF"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d)</w:t>
            </w:r>
          </w:p>
        </w:tc>
        <w:tc>
          <w:tcPr>
            <w:tcW w:w="3637" w:type="dxa"/>
          </w:tcPr>
          <w:p w14:paraId="78DC7480" w14:textId="77777777" w:rsidR="0017323B" w:rsidRPr="005E40C2" w:rsidRDefault="00207218" w:rsidP="003D46D6">
            <w:pPr>
              <w:spacing w:line="360" w:lineRule="auto"/>
              <w:jc w:val="both"/>
              <w:rPr>
                <w:rFonts w:ascii="Garamond" w:hAnsi="Garamond" w:cstheme="majorBidi"/>
                <w:sz w:val="24"/>
                <w:szCs w:val="24"/>
              </w:rPr>
            </w:pPr>
            <w:r w:rsidRPr="00A22622">
              <w:rPr>
                <w:rFonts w:ascii="Garamond" w:hAnsi="Garamond" w:cstheme="majorBidi"/>
                <w:sz w:val="24"/>
                <w:szCs w:val="24"/>
              </w:rPr>
              <w:t>Wakalah Agreement on the Purchase of Goods in the Context of Murabahah Financing (proof of authorization for the purchase of the defendant's business support)</w:t>
            </w:r>
          </w:p>
        </w:tc>
        <w:tc>
          <w:tcPr>
            <w:tcW w:w="810" w:type="dxa"/>
          </w:tcPr>
          <w:p w14:paraId="3C6E4165" w14:textId="77777777" w:rsidR="0017323B" w:rsidRPr="005E40C2" w:rsidRDefault="0017323B" w:rsidP="0017323B">
            <w:pPr>
              <w:spacing w:line="360" w:lineRule="auto"/>
              <w:rPr>
                <w:rFonts w:ascii="Garamond" w:hAnsi="Garamond" w:cstheme="majorBidi"/>
                <w:sz w:val="24"/>
                <w:szCs w:val="24"/>
              </w:rPr>
            </w:pPr>
          </w:p>
          <w:p w14:paraId="6CCF92EF" w14:textId="77777777" w:rsidR="0017323B" w:rsidRPr="005E40C2" w:rsidRDefault="0017323B" w:rsidP="00A10C72">
            <w:pPr>
              <w:spacing w:line="360" w:lineRule="auto"/>
              <w:jc w:val="center"/>
              <w:rPr>
                <w:rFonts w:ascii="Garamond" w:hAnsi="Garamond" w:cstheme="majorBidi"/>
                <w:sz w:val="24"/>
                <w:szCs w:val="24"/>
              </w:rPr>
            </w:pPr>
          </w:p>
          <w:p w14:paraId="7244D375"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4</w:t>
            </w:r>
          </w:p>
        </w:tc>
      </w:tr>
      <w:tr w:rsidR="00A26235" w14:paraId="09EF7D4C" w14:textId="77777777" w:rsidTr="0017323B">
        <w:trPr>
          <w:jc w:val="center"/>
        </w:trPr>
        <w:tc>
          <w:tcPr>
            <w:tcW w:w="471" w:type="dxa"/>
          </w:tcPr>
          <w:p w14:paraId="6F0FA93A"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e)</w:t>
            </w:r>
          </w:p>
        </w:tc>
        <w:tc>
          <w:tcPr>
            <w:tcW w:w="3637" w:type="dxa"/>
          </w:tcPr>
          <w:p w14:paraId="46DC09E9" w14:textId="77777777" w:rsidR="0017323B" w:rsidRPr="005E40C2" w:rsidRDefault="00207218" w:rsidP="003D46D6">
            <w:pPr>
              <w:spacing w:line="360" w:lineRule="auto"/>
              <w:jc w:val="both"/>
              <w:rPr>
                <w:rFonts w:ascii="Garamond" w:hAnsi="Garamond" w:cstheme="majorBidi"/>
                <w:sz w:val="24"/>
                <w:szCs w:val="24"/>
              </w:rPr>
            </w:pPr>
            <w:r w:rsidRPr="00A22622">
              <w:rPr>
                <w:rFonts w:ascii="Garamond" w:hAnsi="Garamond" w:cstheme="majorBidi"/>
                <w:sz w:val="24"/>
                <w:szCs w:val="24"/>
              </w:rPr>
              <w:t>Murabahah Bil Wakalah Financing Contract (proof of providing financing)</w:t>
            </w:r>
          </w:p>
        </w:tc>
        <w:tc>
          <w:tcPr>
            <w:tcW w:w="810" w:type="dxa"/>
          </w:tcPr>
          <w:p w14:paraId="02750298" w14:textId="77777777" w:rsidR="0017323B" w:rsidRPr="005E40C2" w:rsidRDefault="0017323B" w:rsidP="0017323B">
            <w:pPr>
              <w:spacing w:line="360" w:lineRule="auto"/>
              <w:rPr>
                <w:rFonts w:ascii="Garamond" w:hAnsi="Garamond" w:cstheme="majorBidi"/>
                <w:sz w:val="24"/>
                <w:szCs w:val="24"/>
              </w:rPr>
            </w:pPr>
          </w:p>
          <w:p w14:paraId="5DF1379D"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5</w:t>
            </w:r>
          </w:p>
        </w:tc>
      </w:tr>
      <w:tr w:rsidR="00A26235" w14:paraId="3EB759EF" w14:textId="77777777" w:rsidTr="0017323B">
        <w:trPr>
          <w:jc w:val="center"/>
        </w:trPr>
        <w:tc>
          <w:tcPr>
            <w:tcW w:w="471" w:type="dxa"/>
          </w:tcPr>
          <w:p w14:paraId="43A68F5F"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f)</w:t>
            </w:r>
          </w:p>
        </w:tc>
        <w:tc>
          <w:tcPr>
            <w:tcW w:w="3637" w:type="dxa"/>
          </w:tcPr>
          <w:p w14:paraId="67D70348" w14:textId="77777777" w:rsidR="0017323B" w:rsidRPr="005E40C2" w:rsidRDefault="00207218" w:rsidP="003D46D6">
            <w:pPr>
              <w:spacing w:line="360" w:lineRule="auto"/>
              <w:jc w:val="both"/>
              <w:rPr>
                <w:rFonts w:ascii="Garamond" w:hAnsi="Garamond" w:cstheme="majorBidi"/>
                <w:sz w:val="24"/>
                <w:szCs w:val="24"/>
              </w:rPr>
            </w:pPr>
            <w:r w:rsidRPr="00A22622">
              <w:rPr>
                <w:rFonts w:ascii="Garamond" w:hAnsi="Garamond" w:cstheme="majorBidi"/>
                <w:sz w:val="24"/>
                <w:szCs w:val="24"/>
              </w:rPr>
              <w:t>Addendum of Financing Agreement (proof of restructuring)</w:t>
            </w:r>
          </w:p>
        </w:tc>
        <w:tc>
          <w:tcPr>
            <w:tcW w:w="810" w:type="dxa"/>
          </w:tcPr>
          <w:p w14:paraId="3EA5BDD8" w14:textId="77777777" w:rsidR="0017323B" w:rsidRPr="005E40C2" w:rsidRDefault="0017323B" w:rsidP="0017323B">
            <w:pPr>
              <w:spacing w:line="360" w:lineRule="auto"/>
              <w:rPr>
                <w:rFonts w:ascii="Garamond" w:hAnsi="Garamond" w:cstheme="majorBidi"/>
                <w:sz w:val="24"/>
                <w:szCs w:val="24"/>
              </w:rPr>
            </w:pPr>
          </w:p>
          <w:p w14:paraId="7770D564"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- 6</w:t>
            </w:r>
          </w:p>
        </w:tc>
      </w:tr>
      <w:tr w:rsidR="00A26235" w14:paraId="73E3E604" w14:textId="77777777" w:rsidTr="0017323B">
        <w:trPr>
          <w:jc w:val="center"/>
        </w:trPr>
        <w:tc>
          <w:tcPr>
            <w:tcW w:w="471" w:type="dxa"/>
          </w:tcPr>
          <w:p w14:paraId="1B02025D"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g)</w:t>
            </w:r>
          </w:p>
        </w:tc>
        <w:tc>
          <w:tcPr>
            <w:tcW w:w="3637" w:type="dxa"/>
          </w:tcPr>
          <w:p w14:paraId="372169C6" w14:textId="77777777" w:rsidR="0017323B" w:rsidRPr="005E40C2" w:rsidRDefault="00207218" w:rsidP="003D46D6">
            <w:pPr>
              <w:spacing w:line="360" w:lineRule="auto"/>
              <w:jc w:val="both"/>
              <w:rPr>
                <w:rFonts w:ascii="Garamond" w:hAnsi="Garamond" w:cstheme="majorBidi"/>
                <w:sz w:val="24"/>
                <w:szCs w:val="24"/>
              </w:rPr>
            </w:pPr>
            <w:r>
              <w:rPr>
                <w:rFonts w:ascii="Garamond" w:hAnsi="Garamond" w:cstheme="majorBidi"/>
                <w:sz w:val="24"/>
                <w:szCs w:val="24"/>
              </w:rPr>
              <w:t>Customer Installment Schedule based on the Murabahah Bil Wakalah Financing Agreement (proof of payment obligation)</w:t>
            </w:r>
          </w:p>
        </w:tc>
        <w:tc>
          <w:tcPr>
            <w:tcW w:w="810" w:type="dxa"/>
          </w:tcPr>
          <w:p w14:paraId="17E3AF6B" w14:textId="77777777" w:rsidR="0017323B" w:rsidRPr="005E40C2" w:rsidRDefault="0017323B" w:rsidP="00A10C72">
            <w:pPr>
              <w:spacing w:line="360" w:lineRule="auto"/>
              <w:jc w:val="center"/>
              <w:rPr>
                <w:rFonts w:ascii="Garamond" w:hAnsi="Garamond" w:cstheme="majorBidi"/>
                <w:sz w:val="24"/>
                <w:szCs w:val="24"/>
              </w:rPr>
            </w:pPr>
          </w:p>
          <w:p w14:paraId="14CD5139" w14:textId="77777777" w:rsidR="0017323B" w:rsidRPr="005E40C2" w:rsidRDefault="0017323B" w:rsidP="00A10C72">
            <w:pPr>
              <w:spacing w:line="360" w:lineRule="auto"/>
              <w:jc w:val="center"/>
              <w:rPr>
                <w:rFonts w:ascii="Garamond" w:hAnsi="Garamond" w:cstheme="majorBidi"/>
                <w:sz w:val="24"/>
                <w:szCs w:val="24"/>
              </w:rPr>
            </w:pPr>
          </w:p>
          <w:p w14:paraId="23B1B7C6"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7</w:t>
            </w:r>
          </w:p>
        </w:tc>
      </w:tr>
      <w:tr w:rsidR="00A26235" w14:paraId="02C3EB96" w14:textId="77777777" w:rsidTr="0017323B">
        <w:trPr>
          <w:jc w:val="center"/>
        </w:trPr>
        <w:tc>
          <w:tcPr>
            <w:tcW w:w="471" w:type="dxa"/>
          </w:tcPr>
          <w:p w14:paraId="08FC2569"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h)</w:t>
            </w:r>
          </w:p>
        </w:tc>
        <w:tc>
          <w:tcPr>
            <w:tcW w:w="3637" w:type="dxa"/>
          </w:tcPr>
          <w:p w14:paraId="4C33EDA8" w14:textId="77777777" w:rsidR="0017323B" w:rsidRPr="005E40C2" w:rsidRDefault="00207218" w:rsidP="003D46D6">
            <w:pPr>
              <w:spacing w:line="360" w:lineRule="auto"/>
              <w:jc w:val="both"/>
              <w:rPr>
                <w:rFonts w:ascii="Garamond" w:hAnsi="Garamond" w:cstheme="majorBidi"/>
                <w:sz w:val="24"/>
                <w:szCs w:val="24"/>
              </w:rPr>
            </w:pPr>
            <w:r>
              <w:rPr>
                <w:rFonts w:ascii="Garamond" w:hAnsi="Garamond" w:cstheme="majorBidi"/>
                <w:sz w:val="24"/>
                <w:szCs w:val="24"/>
              </w:rPr>
              <w:t xml:space="preserve">Customer Installment Schedule Based on Akad Addendum (proof of </w:t>
            </w:r>
            <w:r>
              <w:rPr>
                <w:rFonts w:ascii="Garamond" w:hAnsi="Garamond" w:cstheme="majorBidi"/>
                <w:sz w:val="24"/>
                <w:szCs w:val="24"/>
              </w:rPr>
              <w:lastRenderedPageBreak/>
              <w:t>payment installments after restructuring)</w:t>
            </w:r>
          </w:p>
        </w:tc>
        <w:tc>
          <w:tcPr>
            <w:tcW w:w="810" w:type="dxa"/>
          </w:tcPr>
          <w:p w14:paraId="7F312EED" w14:textId="77777777" w:rsidR="0017323B" w:rsidRPr="005E40C2" w:rsidRDefault="0017323B" w:rsidP="00A10C72">
            <w:pPr>
              <w:spacing w:line="360" w:lineRule="auto"/>
              <w:jc w:val="center"/>
              <w:rPr>
                <w:rFonts w:ascii="Garamond" w:hAnsi="Garamond" w:cstheme="majorBidi"/>
                <w:sz w:val="24"/>
                <w:szCs w:val="24"/>
              </w:rPr>
            </w:pPr>
          </w:p>
          <w:p w14:paraId="1CE245B1" w14:textId="77777777" w:rsidR="0017323B" w:rsidRPr="005E40C2" w:rsidRDefault="0017323B" w:rsidP="00A10C72">
            <w:pPr>
              <w:spacing w:line="360" w:lineRule="auto"/>
              <w:jc w:val="center"/>
              <w:rPr>
                <w:rFonts w:ascii="Garamond" w:hAnsi="Garamond" w:cstheme="majorBidi"/>
                <w:sz w:val="24"/>
                <w:szCs w:val="24"/>
              </w:rPr>
            </w:pPr>
          </w:p>
          <w:p w14:paraId="2F985A10"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lastRenderedPageBreak/>
              <w:t>P – 8</w:t>
            </w:r>
          </w:p>
        </w:tc>
      </w:tr>
      <w:tr w:rsidR="00A26235" w14:paraId="4ED121B2" w14:textId="77777777" w:rsidTr="0017323B">
        <w:trPr>
          <w:jc w:val="center"/>
        </w:trPr>
        <w:tc>
          <w:tcPr>
            <w:tcW w:w="471" w:type="dxa"/>
          </w:tcPr>
          <w:p w14:paraId="31318FD1"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lastRenderedPageBreak/>
              <w:t>i)</w:t>
            </w:r>
          </w:p>
        </w:tc>
        <w:tc>
          <w:tcPr>
            <w:tcW w:w="3637" w:type="dxa"/>
          </w:tcPr>
          <w:p w14:paraId="556712DA" w14:textId="77777777" w:rsidR="0017323B" w:rsidRPr="005E40C2" w:rsidRDefault="00207218" w:rsidP="003D46D6">
            <w:pPr>
              <w:spacing w:line="360" w:lineRule="auto"/>
              <w:jc w:val="both"/>
              <w:rPr>
                <w:rFonts w:ascii="Garamond" w:hAnsi="Garamond" w:cstheme="majorBidi"/>
                <w:sz w:val="24"/>
                <w:szCs w:val="24"/>
              </w:rPr>
            </w:pPr>
            <w:r>
              <w:rPr>
                <w:rFonts w:ascii="Garamond" w:hAnsi="Garamond" w:cstheme="majorBidi"/>
                <w:sz w:val="24"/>
                <w:szCs w:val="24"/>
              </w:rPr>
              <w:t>Proof of Guarantee Handover (proof of guarantee handover in the form of SHM)</w:t>
            </w:r>
          </w:p>
        </w:tc>
        <w:tc>
          <w:tcPr>
            <w:tcW w:w="810" w:type="dxa"/>
          </w:tcPr>
          <w:p w14:paraId="6E4B2270" w14:textId="77777777" w:rsidR="0017323B" w:rsidRDefault="0017323B" w:rsidP="00A10C72">
            <w:pPr>
              <w:spacing w:line="360" w:lineRule="auto"/>
              <w:jc w:val="center"/>
              <w:rPr>
                <w:rFonts w:ascii="Garamond" w:hAnsi="Garamond" w:cstheme="majorBidi"/>
                <w:sz w:val="24"/>
                <w:szCs w:val="24"/>
              </w:rPr>
            </w:pPr>
          </w:p>
          <w:p w14:paraId="53751C72"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9</w:t>
            </w:r>
          </w:p>
        </w:tc>
      </w:tr>
      <w:tr w:rsidR="00A26235" w14:paraId="3E7E6622" w14:textId="77777777" w:rsidTr="0017323B">
        <w:trPr>
          <w:jc w:val="center"/>
        </w:trPr>
        <w:tc>
          <w:tcPr>
            <w:tcW w:w="471" w:type="dxa"/>
          </w:tcPr>
          <w:p w14:paraId="4806932A"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j)</w:t>
            </w:r>
          </w:p>
        </w:tc>
        <w:tc>
          <w:tcPr>
            <w:tcW w:w="3637" w:type="dxa"/>
          </w:tcPr>
          <w:p w14:paraId="3F488282" w14:textId="77777777" w:rsidR="0017323B" w:rsidRPr="005E40C2" w:rsidRDefault="00207218" w:rsidP="003D46D6">
            <w:pPr>
              <w:tabs>
                <w:tab w:val="left" w:pos="449"/>
              </w:tabs>
              <w:spacing w:line="360" w:lineRule="auto"/>
              <w:jc w:val="both"/>
              <w:rPr>
                <w:rFonts w:ascii="Garamond" w:hAnsi="Garamond" w:cstheme="majorBidi"/>
                <w:sz w:val="24"/>
                <w:szCs w:val="24"/>
              </w:rPr>
            </w:pPr>
            <w:r>
              <w:rPr>
                <w:rFonts w:ascii="Garamond" w:hAnsi="Garamond" w:cstheme="majorBidi"/>
                <w:sz w:val="24"/>
                <w:szCs w:val="24"/>
              </w:rPr>
              <w:t>Power of Attorney to Sell/Transfer the Right to Guarantee (proof of granting power of attorney to the plaintiff in the form of SHM guarantee)</w:t>
            </w:r>
          </w:p>
        </w:tc>
        <w:tc>
          <w:tcPr>
            <w:tcW w:w="810" w:type="dxa"/>
          </w:tcPr>
          <w:p w14:paraId="5BC37D4E" w14:textId="77777777" w:rsidR="0017323B" w:rsidRPr="005E40C2" w:rsidRDefault="0017323B" w:rsidP="0017323B">
            <w:pPr>
              <w:spacing w:line="360" w:lineRule="auto"/>
              <w:rPr>
                <w:rFonts w:ascii="Garamond" w:hAnsi="Garamond" w:cstheme="majorBidi"/>
                <w:sz w:val="24"/>
                <w:szCs w:val="24"/>
              </w:rPr>
            </w:pPr>
          </w:p>
          <w:p w14:paraId="75AB0F7F"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10</w:t>
            </w:r>
          </w:p>
        </w:tc>
      </w:tr>
      <w:tr w:rsidR="00A26235" w14:paraId="73C8EC4C" w14:textId="77777777" w:rsidTr="0017323B">
        <w:trPr>
          <w:jc w:val="center"/>
        </w:trPr>
        <w:tc>
          <w:tcPr>
            <w:tcW w:w="471" w:type="dxa"/>
          </w:tcPr>
          <w:p w14:paraId="12210EE1"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k)</w:t>
            </w:r>
          </w:p>
        </w:tc>
        <w:tc>
          <w:tcPr>
            <w:tcW w:w="3637" w:type="dxa"/>
          </w:tcPr>
          <w:p w14:paraId="19449021" w14:textId="77777777" w:rsidR="0017323B" w:rsidRPr="005E40C2" w:rsidRDefault="00207218" w:rsidP="003D46D6">
            <w:pPr>
              <w:spacing w:line="360" w:lineRule="auto"/>
              <w:jc w:val="both"/>
              <w:rPr>
                <w:rFonts w:ascii="Garamond" w:hAnsi="Garamond" w:cstheme="majorBidi"/>
                <w:sz w:val="24"/>
                <w:szCs w:val="24"/>
              </w:rPr>
            </w:pPr>
            <w:r>
              <w:rPr>
                <w:rFonts w:ascii="Garamond" w:hAnsi="Garamond" w:cstheme="majorBidi"/>
                <w:sz w:val="24"/>
                <w:szCs w:val="24"/>
              </w:rPr>
              <w:t>Debt Acknowledgment Letter (the defendant admits the existence of debt)</w:t>
            </w:r>
          </w:p>
        </w:tc>
        <w:tc>
          <w:tcPr>
            <w:tcW w:w="810" w:type="dxa"/>
          </w:tcPr>
          <w:p w14:paraId="7659F2EA" w14:textId="77777777" w:rsidR="0017323B" w:rsidRPr="005E40C2" w:rsidRDefault="00207218" w:rsidP="00A22622">
            <w:pPr>
              <w:spacing w:line="360" w:lineRule="auto"/>
              <w:jc w:val="center"/>
              <w:rPr>
                <w:rFonts w:ascii="Garamond" w:hAnsi="Garamond" w:cstheme="majorBidi"/>
                <w:sz w:val="24"/>
                <w:szCs w:val="24"/>
              </w:rPr>
            </w:pPr>
            <w:r w:rsidRPr="005E40C2">
              <w:rPr>
                <w:rFonts w:ascii="Garamond" w:hAnsi="Garamond" w:cstheme="majorBidi"/>
                <w:sz w:val="24"/>
                <w:szCs w:val="24"/>
              </w:rPr>
              <w:t>P – 11</w:t>
            </w:r>
          </w:p>
        </w:tc>
      </w:tr>
      <w:tr w:rsidR="00A26235" w14:paraId="5D7DFF1D" w14:textId="77777777" w:rsidTr="0017323B">
        <w:trPr>
          <w:trHeight w:val="962"/>
          <w:jc w:val="center"/>
        </w:trPr>
        <w:tc>
          <w:tcPr>
            <w:tcW w:w="471" w:type="dxa"/>
          </w:tcPr>
          <w:p w14:paraId="7E1E1205"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l)</w:t>
            </w:r>
          </w:p>
        </w:tc>
        <w:tc>
          <w:tcPr>
            <w:tcW w:w="3637" w:type="dxa"/>
          </w:tcPr>
          <w:p w14:paraId="62A6581A" w14:textId="77777777" w:rsidR="0017323B" w:rsidRPr="005E40C2" w:rsidRDefault="00207218" w:rsidP="003D46D6">
            <w:pPr>
              <w:spacing w:line="360" w:lineRule="auto"/>
              <w:jc w:val="both"/>
              <w:rPr>
                <w:rFonts w:ascii="Garamond" w:hAnsi="Garamond" w:cstheme="majorBidi"/>
                <w:sz w:val="24"/>
                <w:szCs w:val="24"/>
              </w:rPr>
            </w:pPr>
            <w:r>
              <w:rPr>
                <w:rFonts w:ascii="Garamond" w:hAnsi="Garamond" w:cstheme="majorBidi"/>
                <w:sz w:val="24"/>
                <w:szCs w:val="24"/>
              </w:rPr>
              <w:t>Certificate of Ownership (guarantee of financing)</w:t>
            </w:r>
          </w:p>
        </w:tc>
        <w:tc>
          <w:tcPr>
            <w:tcW w:w="810" w:type="dxa"/>
          </w:tcPr>
          <w:p w14:paraId="228EDB41" w14:textId="77777777" w:rsidR="0017323B" w:rsidRPr="005E40C2" w:rsidRDefault="00207218" w:rsidP="003D46D6">
            <w:pPr>
              <w:spacing w:line="360" w:lineRule="auto"/>
              <w:rPr>
                <w:rFonts w:ascii="Garamond" w:hAnsi="Garamond" w:cstheme="majorBidi"/>
                <w:sz w:val="24"/>
                <w:szCs w:val="24"/>
              </w:rPr>
            </w:pPr>
            <w:r w:rsidRPr="005E40C2">
              <w:rPr>
                <w:rFonts w:ascii="Garamond" w:hAnsi="Garamond" w:cstheme="majorBidi"/>
                <w:sz w:val="24"/>
                <w:szCs w:val="24"/>
              </w:rPr>
              <w:t>P – 12</w:t>
            </w:r>
          </w:p>
        </w:tc>
      </w:tr>
      <w:tr w:rsidR="00A26235" w14:paraId="0670B2AF" w14:textId="77777777" w:rsidTr="0017323B">
        <w:trPr>
          <w:jc w:val="center"/>
        </w:trPr>
        <w:tc>
          <w:tcPr>
            <w:tcW w:w="471" w:type="dxa"/>
          </w:tcPr>
          <w:p w14:paraId="45B0E5B5"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m)</w:t>
            </w:r>
          </w:p>
        </w:tc>
        <w:tc>
          <w:tcPr>
            <w:tcW w:w="3637" w:type="dxa"/>
          </w:tcPr>
          <w:p w14:paraId="2E69395B" w14:textId="77777777" w:rsidR="0017323B" w:rsidRPr="005E40C2" w:rsidRDefault="00207218" w:rsidP="00A10C72">
            <w:pPr>
              <w:spacing w:line="360" w:lineRule="auto"/>
              <w:jc w:val="both"/>
              <w:rPr>
                <w:rFonts w:ascii="Garamond" w:hAnsi="Garamond" w:cstheme="majorBidi"/>
                <w:sz w:val="24"/>
                <w:szCs w:val="24"/>
              </w:rPr>
            </w:pPr>
            <w:r>
              <w:rPr>
                <w:rFonts w:ascii="Garamond" w:hAnsi="Garamond" w:cstheme="majorBidi"/>
                <w:sz w:val="24"/>
                <w:szCs w:val="24"/>
              </w:rPr>
              <w:t>Warning Letter I (one) submitted to the Defendant</w:t>
            </w:r>
          </w:p>
        </w:tc>
        <w:tc>
          <w:tcPr>
            <w:tcW w:w="810" w:type="dxa"/>
          </w:tcPr>
          <w:p w14:paraId="15CA216B"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13</w:t>
            </w:r>
          </w:p>
        </w:tc>
      </w:tr>
      <w:tr w:rsidR="00A26235" w14:paraId="1EA38F85" w14:textId="77777777" w:rsidTr="0017323B">
        <w:trPr>
          <w:jc w:val="center"/>
        </w:trPr>
        <w:tc>
          <w:tcPr>
            <w:tcW w:w="471" w:type="dxa"/>
          </w:tcPr>
          <w:p w14:paraId="2C838884"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n)</w:t>
            </w:r>
          </w:p>
        </w:tc>
        <w:tc>
          <w:tcPr>
            <w:tcW w:w="3637" w:type="dxa"/>
          </w:tcPr>
          <w:p w14:paraId="4D18F87C" w14:textId="77777777" w:rsidR="0017323B" w:rsidRPr="005E40C2" w:rsidRDefault="00207218" w:rsidP="00A10C72">
            <w:pPr>
              <w:spacing w:line="360" w:lineRule="auto"/>
              <w:jc w:val="both"/>
              <w:rPr>
                <w:rFonts w:ascii="Garamond" w:hAnsi="Garamond" w:cstheme="majorBidi"/>
                <w:sz w:val="24"/>
                <w:szCs w:val="24"/>
              </w:rPr>
            </w:pPr>
            <w:r>
              <w:rPr>
                <w:rFonts w:ascii="Garamond" w:hAnsi="Garamond" w:cstheme="majorBidi"/>
                <w:sz w:val="24"/>
                <w:szCs w:val="24"/>
              </w:rPr>
              <w:t>Warning Letter II (two) submitted to the Defendant</w:t>
            </w:r>
          </w:p>
        </w:tc>
        <w:tc>
          <w:tcPr>
            <w:tcW w:w="810" w:type="dxa"/>
          </w:tcPr>
          <w:p w14:paraId="5201804B"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14</w:t>
            </w:r>
          </w:p>
        </w:tc>
      </w:tr>
      <w:tr w:rsidR="00A26235" w14:paraId="0BD2998A" w14:textId="77777777" w:rsidTr="0017323B">
        <w:trPr>
          <w:jc w:val="center"/>
        </w:trPr>
        <w:tc>
          <w:tcPr>
            <w:tcW w:w="471" w:type="dxa"/>
          </w:tcPr>
          <w:p w14:paraId="03C5A5BB" w14:textId="77777777" w:rsidR="0017323B" w:rsidRPr="005E40C2" w:rsidRDefault="00207218" w:rsidP="00A10C72">
            <w:pPr>
              <w:spacing w:line="360" w:lineRule="auto"/>
              <w:jc w:val="both"/>
              <w:rPr>
                <w:rFonts w:ascii="Garamond" w:hAnsi="Garamond" w:cstheme="majorBidi"/>
                <w:sz w:val="24"/>
                <w:szCs w:val="24"/>
              </w:rPr>
            </w:pPr>
            <w:r w:rsidRPr="005E40C2">
              <w:rPr>
                <w:rFonts w:ascii="Garamond" w:hAnsi="Garamond" w:cstheme="majorBidi"/>
                <w:sz w:val="24"/>
                <w:szCs w:val="24"/>
              </w:rPr>
              <w:t>o)</w:t>
            </w:r>
          </w:p>
        </w:tc>
        <w:tc>
          <w:tcPr>
            <w:tcW w:w="3637" w:type="dxa"/>
          </w:tcPr>
          <w:p w14:paraId="5073A431" w14:textId="77777777" w:rsidR="0017323B" w:rsidRPr="005E40C2" w:rsidRDefault="00207218" w:rsidP="003D46D6">
            <w:pPr>
              <w:spacing w:line="360" w:lineRule="auto"/>
              <w:jc w:val="both"/>
              <w:rPr>
                <w:rFonts w:ascii="Garamond" w:hAnsi="Garamond" w:cstheme="majorBidi"/>
                <w:sz w:val="24"/>
                <w:szCs w:val="24"/>
              </w:rPr>
            </w:pPr>
            <w:r>
              <w:rPr>
                <w:rFonts w:ascii="Garamond" w:hAnsi="Garamond" w:cstheme="majorBidi"/>
                <w:sz w:val="24"/>
                <w:szCs w:val="24"/>
              </w:rPr>
              <w:t>Warning Letter III (three) submitted to the defendant (evidence P-13 to P-15 is evidence that the defendant was allowed to carry out his obligations)</w:t>
            </w:r>
          </w:p>
        </w:tc>
        <w:tc>
          <w:tcPr>
            <w:tcW w:w="810" w:type="dxa"/>
          </w:tcPr>
          <w:p w14:paraId="7F6EBA8C" w14:textId="77777777" w:rsidR="0017323B" w:rsidRDefault="0017323B" w:rsidP="0017323B">
            <w:pPr>
              <w:spacing w:line="360" w:lineRule="auto"/>
              <w:rPr>
                <w:rFonts w:ascii="Garamond" w:hAnsi="Garamond" w:cstheme="majorBidi"/>
                <w:sz w:val="24"/>
                <w:szCs w:val="24"/>
              </w:rPr>
            </w:pPr>
          </w:p>
          <w:p w14:paraId="55F78964" w14:textId="77777777" w:rsidR="0017323B" w:rsidRPr="005E40C2" w:rsidRDefault="0017323B" w:rsidP="0017323B">
            <w:pPr>
              <w:spacing w:line="360" w:lineRule="auto"/>
              <w:rPr>
                <w:rFonts w:ascii="Garamond" w:hAnsi="Garamond" w:cstheme="majorBidi"/>
                <w:sz w:val="24"/>
                <w:szCs w:val="24"/>
              </w:rPr>
            </w:pPr>
          </w:p>
          <w:p w14:paraId="145E96F9" w14:textId="77777777" w:rsidR="0017323B" w:rsidRPr="005E40C2" w:rsidRDefault="00207218" w:rsidP="00A10C72">
            <w:pPr>
              <w:spacing w:line="360" w:lineRule="auto"/>
              <w:jc w:val="center"/>
              <w:rPr>
                <w:rFonts w:ascii="Garamond" w:hAnsi="Garamond" w:cstheme="majorBidi"/>
                <w:sz w:val="24"/>
                <w:szCs w:val="24"/>
              </w:rPr>
            </w:pPr>
            <w:r w:rsidRPr="005E40C2">
              <w:rPr>
                <w:rFonts w:ascii="Garamond" w:hAnsi="Garamond" w:cstheme="majorBidi"/>
                <w:sz w:val="24"/>
                <w:szCs w:val="24"/>
              </w:rPr>
              <w:t>P – 15</w:t>
            </w:r>
          </w:p>
        </w:tc>
      </w:tr>
    </w:tbl>
    <w:p w14:paraId="2958F6C3" w14:textId="77777777" w:rsidR="00A10C72" w:rsidRPr="0056698B" w:rsidRDefault="00207218" w:rsidP="0056698B">
      <w:pPr>
        <w:spacing w:before="120" w:after="120" w:line="360" w:lineRule="auto"/>
        <w:jc w:val="center"/>
        <w:rPr>
          <w:rFonts w:ascii="Garamond" w:eastAsia="Microsoft JhengHei UI Light" w:hAnsi="Garamond" w:cstheme="majorBidi"/>
          <w:i/>
          <w:iCs/>
          <w:sz w:val="20"/>
          <w:szCs w:val="20"/>
        </w:rPr>
      </w:pPr>
      <w:r w:rsidRPr="0056698B">
        <w:rPr>
          <w:rFonts w:ascii="Garamond" w:eastAsia="Microsoft JhengHei UI Light" w:hAnsi="Garamond" w:cstheme="majorBidi"/>
          <w:i/>
          <w:iCs/>
          <w:sz w:val="20"/>
          <w:szCs w:val="20"/>
        </w:rPr>
        <w:t>Source: Case Register No: 1/pdt.G.S./2020/PA Plk</w:t>
      </w:r>
    </w:p>
    <w:p w14:paraId="35613465" w14:textId="77777777" w:rsidR="00DA3604" w:rsidRDefault="00207218" w:rsidP="00DA3604">
      <w:pPr>
        <w:spacing w:after="0" w:line="276" w:lineRule="auto"/>
        <w:ind w:firstLine="567"/>
        <w:jc w:val="both"/>
        <w:rPr>
          <w:rFonts w:ascii="Garamond" w:hAnsi="Garamond" w:cstheme="majorBidi"/>
          <w:sz w:val="24"/>
          <w:szCs w:val="24"/>
          <w:lang w:eastAsia="zh-CN"/>
        </w:rPr>
      </w:pPr>
      <w:r>
        <w:rPr>
          <w:rFonts w:ascii="Garamond" w:hAnsi="Garamond" w:cstheme="majorBidi"/>
          <w:sz w:val="24"/>
          <w:szCs w:val="24"/>
          <w:lang w:eastAsia="zh-CN"/>
        </w:rPr>
        <w:t xml:space="preserve">The evidence attached by the Bank as completeness is in the form of letters in Table 2. After the examination is carried out by the Palangka Raya Religious Court and is accepted, the Bank pays the case fee or administrative fee and waits for the summons of the hearing, after the trial process takes place and presents the plaintiff, the defendant and witnesses or proxies, incidental attorneys or representatives appointed by the litigants. The verdict will be delivered within a maximum of 25 working days if, as a result of the decision the litigant objects, legal remedies are carried out with a </w:t>
      </w:r>
      <w:r>
        <w:rPr>
          <w:rFonts w:ascii="Garamond" w:hAnsi="Garamond" w:cstheme="majorBidi"/>
          <w:sz w:val="24"/>
          <w:szCs w:val="24"/>
          <w:lang w:eastAsia="zh-CN"/>
        </w:rPr>
        <w:lastRenderedPageBreak/>
        <w:t>follow-up hearing. The verdict will be delivered within a maximum of 7 working days with permanent legal force.</w:t>
      </w:r>
    </w:p>
    <w:p w14:paraId="44BD9CDF" w14:textId="0BAD1DAA" w:rsidR="00DA3604" w:rsidRDefault="00207218" w:rsidP="00DA3604">
      <w:pPr>
        <w:spacing w:after="0" w:line="276" w:lineRule="auto"/>
        <w:ind w:firstLine="567"/>
        <w:jc w:val="both"/>
        <w:rPr>
          <w:rFonts w:ascii="Garamond" w:hAnsi="Garamond" w:cstheme="majorBidi"/>
          <w:sz w:val="24"/>
          <w:szCs w:val="24"/>
          <w:lang w:eastAsia="zh-CN"/>
        </w:rPr>
      </w:pPr>
      <w:r>
        <w:rPr>
          <w:rFonts w:ascii="Garamond" w:hAnsi="Garamond" w:cstheme="majorBidi"/>
          <w:sz w:val="24"/>
          <w:szCs w:val="24"/>
        </w:rPr>
        <w:t xml:space="preserve">Based on an interview with </w:t>
      </w:r>
      <w:r w:rsidR="00F877A8" w:rsidRPr="005E40C2">
        <w:rPr>
          <w:rFonts w:ascii="Garamond" w:hAnsi="Garamond" w:cstheme="majorBidi"/>
          <w:sz w:val="24"/>
          <w:szCs w:val="24"/>
        </w:rPr>
        <w:t xml:space="preserve">Al Amien, </w:t>
      </w:r>
      <w:r w:rsidR="00F877A8">
        <w:rPr>
          <w:rFonts w:ascii="Garamond" w:hAnsi="Garamond" w:cstheme="majorBidi"/>
          <w:sz w:val="24"/>
          <w:szCs w:val="24"/>
        </w:rPr>
        <w:t>(</w:t>
      </w:r>
      <w:r w:rsidR="00F877A8" w:rsidRPr="005E40C2">
        <w:rPr>
          <w:rFonts w:ascii="Garamond" w:hAnsi="Garamond" w:cstheme="majorBidi"/>
          <w:sz w:val="24"/>
          <w:szCs w:val="24"/>
        </w:rPr>
        <w:t>2024</w:t>
      </w:r>
      <w:r w:rsidR="00F877A8">
        <w:rPr>
          <w:rFonts w:ascii="Garamond" w:hAnsi="Garamond" w:cstheme="majorBidi"/>
          <w:sz w:val="24"/>
          <w:szCs w:val="24"/>
        </w:rPr>
        <w:t xml:space="preserve">) </w:t>
      </w:r>
      <w:r>
        <w:rPr>
          <w:rFonts w:ascii="Garamond" w:hAnsi="Garamond" w:cstheme="majorBidi"/>
          <w:sz w:val="24"/>
          <w:szCs w:val="24"/>
        </w:rPr>
        <w:t xml:space="preserve">(Collection Division of BSI KC Palangka Raya Diponegoro) before the bank filed a </w:t>
      </w:r>
      <w:r w:rsidR="00384142">
        <w:rPr>
          <w:rFonts w:ascii="Garamond" w:hAnsi="Garamond" w:cstheme="majorBidi"/>
          <w:sz w:val="24"/>
          <w:szCs w:val="24"/>
        </w:rPr>
        <w:t>small claim court</w:t>
      </w:r>
      <w:r>
        <w:rPr>
          <w:rFonts w:ascii="Garamond" w:hAnsi="Garamond" w:cstheme="majorBidi"/>
          <w:sz w:val="24"/>
          <w:szCs w:val="24"/>
        </w:rPr>
        <w:t xml:space="preserve"> registration, they had the task of reminding customers of </w:t>
      </w:r>
      <w:r w:rsidR="00384142">
        <w:rPr>
          <w:rFonts w:ascii="Garamond" w:hAnsi="Garamond" w:cstheme="majorBidi"/>
          <w:sz w:val="24"/>
          <w:szCs w:val="24"/>
        </w:rPr>
        <w:t>non-performing financing</w:t>
      </w:r>
      <w:r>
        <w:rPr>
          <w:rFonts w:ascii="Garamond" w:hAnsi="Garamond" w:cstheme="majorBidi"/>
          <w:sz w:val="24"/>
          <w:szCs w:val="24"/>
        </w:rPr>
        <w:t xml:space="preserve"> through writing and oral. After going through that approach, if no settlement is found, then one of the settlement decisions that can be considered is through a </w:t>
      </w:r>
      <w:r w:rsidR="00384142">
        <w:rPr>
          <w:rFonts w:ascii="Garamond" w:hAnsi="Garamond" w:cstheme="majorBidi"/>
          <w:sz w:val="24"/>
          <w:szCs w:val="24"/>
        </w:rPr>
        <w:t>small claim court</w:t>
      </w:r>
      <w:r>
        <w:rPr>
          <w:rFonts w:ascii="Garamond" w:hAnsi="Garamond" w:cstheme="majorBidi"/>
          <w:sz w:val="24"/>
          <w:szCs w:val="24"/>
        </w:rPr>
        <w:t xml:space="preserve">. The basis for deciding on the settlement step with this </w:t>
      </w:r>
      <w:r w:rsidR="00384142">
        <w:rPr>
          <w:rFonts w:ascii="Garamond" w:hAnsi="Garamond" w:cstheme="majorBidi"/>
          <w:sz w:val="24"/>
          <w:szCs w:val="24"/>
        </w:rPr>
        <w:t>small claim court</w:t>
      </w:r>
      <w:r>
        <w:rPr>
          <w:rFonts w:ascii="Garamond" w:hAnsi="Garamond" w:cstheme="majorBidi"/>
          <w:sz w:val="24"/>
          <w:szCs w:val="24"/>
        </w:rPr>
        <w:t xml:space="preserve"> is first, because of the character of the customer who has previously been given a warning and opportunity through deliberation to pay off his arrears but a settlement has not yet been found. Second, through a </w:t>
      </w:r>
      <w:r w:rsidR="00384142">
        <w:rPr>
          <w:rFonts w:ascii="Garamond" w:hAnsi="Garamond" w:cstheme="majorBidi"/>
          <w:sz w:val="24"/>
          <w:szCs w:val="24"/>
        </w:rPr>
        <w:t>small claim court</w:t>
      </w:r>
      <w:r>
        <w:rPr>
          <w:rFonts w:ascii="Garamond" w:hAnsi="Garamond" w:cstheme="majorBidi"/>
          <w:sz w:val="24"/>
          <w:szCs w:val="24"/>
        </w:rPr>
        <w:t>, the Bank wants to provide a psychological effect so that when a summons is issued by the Religious Court, it is hoped that customers will increase their awareness of being responsible for their obligations.</w:t>
      </w:r>
      <w:r w:rsidR="006801FE" w:rsidRPr="006801FE">
        <w:rPr>
          <w:rFonts w:ascii="Garamond" w:hAnsi="Garamond" w:cstheme="majorBidi"/>
          <w:sz w:val="24"/>
          <w:szCs w:val="24"/>
        </w:rPr>
        <w:t xml:space="preserve"> </w:t>
      </w:r>
      <w:r w:rsidR="006801FE">
        <w:rPr>
          <w:rFonts w:ascii="Garamond" w:hAnsi="Garamond" w:cstheme="majorBidi"/>
          <w:sz w:val="24"/>
          <w:szCs w:val="24"/>
        </w:rPr>
        <w:t xml:space="preserve">Third, </w:t>
      </w:r>
      <w:r w:rsidR="00384142">
        <w:rPr>
          <w:rFonts w:ascii="Garamond" w:hAnsi="Garamond" w:cstheme="majorBidi"/>
          <w:sz w:val="24"/>
          <w:szCs w:val="24"/>
        </w:rPr>
        <w:t>small claim court</w:t>
      </w:r>
      <w:r w:rsidR="006801FE">
        <w:rPr>
          <w:rFonts w:ascii="Garamond" w:hAnsi="Garamond" w:cstheme="majorBidi"/>
          <w:sz w:val="24"/>
          <w:szCs w:val="24"/>
        </w:rPr>
        <w:t xml:space="preserve">s are faster, cheaper, and more efficient in resolving </w:t>
      </w:r>
      <w:r w:rsidR="00384142">
        <w:rPr>
          <w:rFonts w:ascii="Garamond" w:hAnsi="Garamond" w:cstheme="majorBidi"/>
          <w:sz w:val="24"/>
          <w:szCs w:val="24"/>
        </w:rPr>
        <w:t>non-performing financing</w:t>
      </w:r>
      <w:r w:rsidR="006801FE">
        <w:rPr>
          <w:rFonts w:ascii="Garamond" w:hAnsi="Garamond" w:cstheme="majorBidi"/>
          <w:sz w:val="24"/>
          <w:szCs w:val="24"/>
        </w:rPr>
        <w:t xml:space="preserve"> compared to ordinary small claim courts or aanmaning</w:t>
      </w:r>
      <w:r w:rsidR="00A10C72" w:rsidRPr="005E40C2">
        <w:rPr>
          <w:rFonts w:ascii="Garamond" w:hAnsi="Garamond" w:cstheme="majorBidi"/>
          <w:sz w:val="24"/>
          <w:szCs w:val="24"/>
        </w:rPr>
        <w:t xml:space="preserve">. (Muhammad Faisal </w:t>
      </w:r>
      <w:r w:rsidR="006801FE">
        <w:rPr>
          <w:rFonts w:ascii="Garamond" w:hAnsi="Garamond" w:cstheme="majorBidi"/>
          <w:sz w:val="24"/>
          <w:szCs w:val="24"/>
        </w:rPr>
        <w:t>Based on the research findings, it was found that the customer had broken his promise by not paying the agreed murabahah financing with a total loss of Rp 241,262,782.16 (two hundred and forty-one million two hundred sixty-two thousand seven hundred and eighty-two point sixteen rupiah). In this case, the plaintiff demands rights and obligations to the defendant, the plaintiff and the defendant are in the same jurisdiction, namely in the city of Palangka Raya.</w:t>
      </w:r>
    </w:p>
    <w:p w14:paraId="337175F6" w14:textId="77777777" w:rsidR="00DA3604" w:rsidRDefault="00207218" w:rsidP="00DA3604">
      <w:pPr>
        <w:spacing w:after="0" w:line="276" w:lineRule="auto"/>
        <w:ind w:firstLine="567"/>
        <w:jc w:val="both"/>
        <w:rPr>
          <w:rFonts w:ascii="Garamond" w:hAnsi="Garamond" w:cstheme="majorBidi"/>
          <w:sz w:val="24"/>
          <w:szCs w:val="24"/>
          <w:lang w:eastAsia="zh-CN"/>
        </w:rPr>
      </w:pPr>
      <w:r>
        <w:rPr>
          <w:rFonts w:ascii="Garamond" w:hAnsi="Garamond" w:cstheme="majorBidi"/>
          <w:sz w:val="24"/>
          <w:szCs w:val="24"/>
        </w:rPr>
        <w:t xml:space="preserve">A </w:t>
      </w:r>
      <w:r w:rsidR="00384142">
        <w:rPr>
          <w:rFonts w:ascii="Garamond" w:hAnsi="Garamond" w:cstheme="majorBidi"/>
          <w:sz w:val="24"/>
          <w:szCs w:val="24"/>
        </w:rPr>
        <w:t>small claim court</w:t>
      </w:r>
      <w:r>
        <w:rPr>
          <w:rFonts w:ascii="Garamond" w:hAnsi="Garamond" w:cstheme="majorBidi"/>
          <w:sz w:val="24"/>
          <w:szCs w:val="24"/>
        </w:rPr>
        <w:t xml:space="preserve"> or small claim court is one of the dispute resolutions that provides quick and efficient access for litigants with certain material value. The steps taken by the Bank before the lawsuit show that the Bank is trying to resolve the problem peacefully without litigation, but the customer has not shown good faith in settling the arrears, so the Bank has switched to using a </w:t>
      </w:r>
      <w:r w:rsidR="00384142">
        <w:rPr>
          <w:rFonts w:ascii="Garamond" w:hAnsi="Garamond" w:cstheme="majorBidi"/>
          <w:sz w:val="24"/>
          <w:szCs w:val="24"/>
        </w:rPr>
        <w:t>small claim court</w:t>
      </w:r>
      <w:r>
        <w:rPr>
          <w:rFonts w:ascii="Garamond" w:hAnsi="Garamond" w:cstheme="majorBidi"/>
          <w:sz w:val="24"/>
          <w:szCs w:val="24"/>
        </w:rPr>
        <w:t xml:space="preserve">. The Bank's decision to use a </w:t>
      </w:r>
      <w:r w:rsidR="00384142">
        <w:rPr>
          <w:rFonts w:ascii="Garamond" w:hAnsi="Garamond" w:cstheme="majorBidi"/>
          <w:sz w:val="24"/>
          <w:szCs w:val="24"/>
        </w:rPr>
        <w:t>small claim court</w:t>
      </w:r>
      <w:r>
        <w:rPr>
          <w:rFonts w:ascii="Garamond" w:hAnsi="Garamond" w:cstheme="majorBidi"/>
          <w:sz w:val="24"/>
          <w:szCs w:val="24"/>
        </w:rPr>
        <w:t xml:space="preserve"> is based on the lack of good faith from the customer who has been allowed to carry out his payment obligations, in addition, by filing a </w:t>
      </w:r>
      <w:r w:rsidR="00384142">
        <w:rPr>
          <w:rFonts w:ascii="Garamond" w:hAnsi="Garamond" w:cstheme="majorBidi"/>
          <w:sz w:val="24"/>
          <w:szCs w:val="24"/>
        </w:rPr>
        <w:t>small claim court</w:t>
      </w:r>
      <w:r>
        <w:rPr>
          <w:rFonts w:ascii="Garamond" w:hAnsi="Garamond" w:cstheme="majorBidi"/>
          <w:sz w:val="24"/>
          <w:szCs w:val="24"/>
        </w:rPr>
        <w:t xml:space="preserve">, the Bank expects a psychological effect that arises from the customer and realizes the responsibility and fulfills his obligations and a </w:t>
      </w:r>
      <w:r w:rsidR="00384142">
        <w:rPr>
          <w:rFonts w:ascii="Garamond" w:hAnsi="Garamond" w:cstheme="majorBidi"/>
          <w:sz w:val="24"/>
          <w:szCs w:val="24"/>
        </w:rPr>
        <w:t>small claim court</w:t>
      </w:r>
      <w:r>
        <w:rPr>
          <w:rFonts w:ascii="Garamond" w:hAnsi="Garamond" w:cstheme="majorBidi"/>
          <w:sz w:val="24"/>
          <w:szCs w:val="24"/>
        </w:rPr>
        <w:t xml:space="preserve"> has a faster, cheaper and more efficient process compared to an ordinary lawsuit or amazing which of course takes longer at a higher cost.</w:t>
      </w:r>
    </w:p>
    <w:p w14:paraId="58C8FE0C" w14:textId="77777777" w:rsidR="00DA3604" w:rsidRDefault="00207218" w:rsidP="00DA3604">
      <w:pPr>
        <w:spacing w:after="0" w:line="276" w:lineRule="auto"/>
        <w:ind w:firstLine="567"/>
        <w:jc w:val="both"/>
        <w:rPr>
          <w:rFonts w:ascii="Garamond" w:hAnsi="Garamond" w:cstheme="majorBidi"/>
          <w:sz w:val="24"/>
          <w:szCs w:val="24"/>
          <w:lang w:eastAsia="zh-CN"/>
        </w:rPr>
      </w:pPr>
      <w:r>
        <w:rPr>
          <w:rFonts w:ascii="Garamond" w:hAnsi="Garamond" w:cstheme="majorBidi"/>
          <w:sz w:val="24"/>
          <w:szCs w:val="24"/>
        </w:rPr>
        <w:t xml:space="preserve">The Bank's losses due to the breach of customer promise amounted to Rp 241,262,782.16,- (two hundred and forty-one million two hundred and sixty-two thousand seven hundred and eighty-two point sixteen rupiah), this indicates that the lawsuit filed to the court meets the material value requirements of a </w:t>
      </w:r>
      <w:r w:rsidR="00384142">
        <w:rPr>
          <w:rFonts w:ascii="Garamond" w:hAnsi="Garamond" w:cstheme="majorBidi"/>
          <w:sz w:val="24"/>
          <w:szCs w:val="24"/>
        </w:rPr>
        <w:t>small claim court</w:t>
      </w:r>
      <w:r>
        <w:rPr>
          <w:rFonts w:ascii="Garamond" w:hAnsi="Garamond" w:cstheme="majorBidi"/>
          <w:sz w:val="24"/>
          <w:szCs w:val="24"/>
        </w:rPr>
        <w:t xml:space="preserve"> which must not exceed Rp 500,000,000,- (five hundred million rupiah). This limitation ensures that the lawsuit filed is of relative value so that it can be in line with a quick and efficient settlement. Cases for </w:t>
      </w:r>
      <w:r w:rsidR="00384142">
        <w:rPr>
          <w:rFonts w:ascii="Garamond" w:hAnsi="Garamond" w:cstheme="majorBidi"/>
          <w:sz w:val="24"/>
          <w:szCs w:val="24"/>
        </w:rPr>
        <w:t>small claim court</w:t>
      </w:r>
      <w:r>
        <w:rPr>
          <w:rFonts w:ascii="Garamond" w:hAnsi="Garamond" w:cstheme="majorBidi"/>
          <w:sz w:val="24"/>
          <w:szCs w:val="24"/>
        </w:rPr>
        <w:t xml:space="preserve">s only include default, unlawful acts, breach of promise, and not land rights disputes. The customer has broken the promise with proof of not paying the agreed murabahah financing obligation. Therefore, it is clear that this meets the criteria for a case that can be resolved with a </w:t>
      </w:r>
      <w:r w:rsidR="00384142">
        <w:rPr>
          <w:rFonts w:ascii="Garamond" w:hAnsi="Garamond" w:cstheme="majorBidi"/>
          <w:sz w:val="24"/>
          <w:szCs w:val="24"/>
        </w:rPr>
        <w:t>small claim court</w:t>
      </w:r>
      <w:r>
        <w:rPr>
          <w:rFonts w:ascii="Garamond" w:hAnsi="Garamond" w:cstheme="majorBidi"/>
          <w:sz w:val="24"/>
          <w:szCs w:val="24"/>
        </w:rPr>
        <w:t xml:space="preserve"> because it is related to default.</w:t>
      </w:r>
    </w:p>
    <w:p w14:paraId="0E203BB0" w14:textId="77777777" w:rsidR="00DA3604" w:rsidRDefault="00207218" w:rsidP="00DA3604">
      <w:pPr>
        <w:spacing w:after="0" w:line="276" w:lineRule="auto"/>
        <w:ind w:firstLine="567"/>
        <w:jc w:val="both"/>
        <w:rPr>
          <w:rFonts w:ascii="Garamond" w:hAnsi="Garamond" w:cstheme="majorBidi"/>
          <w:sz w:val="24"/>
          <w:szCs w:val="24"/>
          <w:lang w:eastAsia="zh-CN"/>
        </w:rPr>
      </w:pPr>
      <w:r>
        <w:rPr>
          <w:rFonts w:ascii="Garamond" w:hAnsi="Garamond" w:cstheme="majorBidi"/>
          <w:sz w:val="24"/>
          <w:szCs w:val="24"/>
        </w:rPr>
        <w:t xml:space="preserve">The plaintiff and the defendant must not have the same legal interest in ensuring that the dispute is legitimate. The bank in this context is the plaintiff who demands the right to the financing </w:t>
      </w:r>
      <w:r>
        <w:rPr>
          <w:rFonts w:ascii="Garamond" w:hAnsi="Garamond" w:cstheme="majorBidi"/>
          <w:sz w:val="24"/>
          <w:szCs w:val="24"/>
        </w:rPr>
        <w:lastRenderedPageBreak/>
        <w:t xml:space="preserve">payment obligation that is not fulfilled by the customer or the defendant. This indicates a clear difference of interest between the two parties and meets the requirements of a </w:t>
      </w:r>
      <w:r w:rsidR="00384142">
        <w:rPr>
          <w:rFonts w:ascii="Garamond" w:hAnsi="Garamond" w:cstheme="majorBidi"/>
          <w:sz w:val="24"/>
          <w:szCs w:val="24"/>
        </w:rPr>
        <w:t>small claim court</w:t>
      </w:r>
      <w:r>
        <w:rPr>
          <w:rFonts w:ascii="Garamond" w:hAnsi="Garamond" w:cstheme="majorBidi"/>
          <w:sz w:val="24"/>
          <w:szCs w:val="24"/>
        </w:rPr>
        <w:t>. The simple requirements of the lawsuit stating that the plaintiff and the defendant must live in the same jurisdiction are also fulfilled because both the plaintiff and the defendant are in the same city, namely the city of Palangka Raya. This needs to be a concern to ensure that the court has the right jurisdiction in handling the case. If the plaintiff is not domiciled in the jurisdiction where the defendant resides, the plaintiff is required to appoint a proxy, incidental attorney or representative domiciled in the jurisdiction of the defendant. In this case, the plaintiff (Bank) has been represented by its employees who are domiciled in Palangka Raya so that there is no indication of inequality and the requirements are met.</w:t>
      </w:r>
    </w:p>
    <w:p w14:paraId="4D22CB35" w14:textId="77777777" w:rsidR="00DA3604" w:rsidRDefault="00207218" w:rsidP="00DA3604">
      <w:pPr>
        <w:spacing w:after="0" w:line="276" w:lineRule="auto"/>
        <w:ind w:firstLine="567"/>
        <w:jc w:val="both"/>
        <w:rPr>
          <w:rFonts w:ascii="Garamond" w:hAnsi="Garamond" w:cstheme="majorBidi"/>
          <w:sz w:val="24"/>
          <w:szCs w:val="24"/>
          <w:lang w:eastAsia="zh-CN"/>
        </w:rPr>
      </w:pPr>
      <w:r w:rsidRPr="006801FE">
        <w:rPr>
          <w:rFonts w:ascii="Garamond" w:hAnsi="Garamond" w:cstheme="majorBidi"/>
          <w:sz w:val="24"/>
          <w:szCs w:val="24"/>
        </w:rPr>
        <w:t xml:space="preserve">The plaintiff and the defendant are obliged to attend the trial in person either with or without a legal representative. The urgency of the presence of both parties is to present arguments and evidence directly to the judge. The presence of the plaintiff and defendant will provide convenience in the trial process so that it can run fairly and smoothly. The settlement of non-performing financing through a </w:t>
      </w:r>
      <w:r w:rsidR="00384142">
        <w:rPr>
          <w:rFonts w:ascii="Garamond" w:hAnsi="Garamond" w:cstheme="majorBidi"/>
          <w:sz w:val="24"/>
          <w:szCs w:val="24"/>
        </w:rPr>
        <w:t>small claim court</w:t>
      </w:r>
      <w:r w:rsidRPr="006801FE">
        <w:rPr>
          <w:rFonts w:ascii="Garamond" w:hAnsi="Garamond" w:cstheme="majorBidi"/>
          <w:sz w:val="24"/>
          <w:szCs w:val="24"/>
        </w:rPr>
        <w:t xml:space="preserve"> filed by the Bank against a defaulting customer has met all the requirements of a </w:t>
      </w:r>
      <w:r w:rsidR="00384142">
        <w:rPr>
          <w:rFonts w:ascii="Garamond" w:hAnsi="Garamond" w:cstheme="majorBidi"/>
          <w:sz w:val="24"/>
          <w:szCs w:val="24"/>
        </w:rPr>
        <w:t>small claim court</w:t>
      </w:r>
      <w:r w:rsidRPr="006801FE">
        <w:rPr>
          <w:rFonts w:ascii="Garamond" w:hAnsi="Garamond" w:cstheme="majorBidi"/>
          <w:sz w:val="24"/>
          <w:szCs w:val="24"/>
        </w:rPr>
        <w:t xml:space="preserve"> and is by the mechanism regulated by Supreme Court Regulation No. 4 of 2019 which amends Supreme Court Regulation No. 2 of 2015. </w:t>
      </w:r>
    </w:p>
    <w:p w14:paraId="1275E60D" w14:textId="6A475207" w:rsidR="006801FE" w:rsidRDefault="00500535" w:rsidP="00DA3604">
      <w:pPr>
        <w:spacing w:after="0" w:line="276" w:lineRule="auto"/>
        <w:ind w:firstLine="567"/>
        <w:jc w:val="both"/>
        <w:rPr>
          <w:rFonts w:ascii="Garamond" w:hAnsi="Garamond" w:cstheme="majorBidi"/>
          <w:sz w:val="24"/>
          <w:szCs w:val="24"/>
        </w:rPr>
      </w:pPr>
      <w:r w:rsidRPr="00500535">
        <w:rPr>
          <w:rFonts w:ascii="Garamond" w:hAnsi="Garamond" w:cstheme="majorBidi"/>
          <w:sz w:val="24"/>
          <w:szCs w:val="24"/>
        </w:rPr>
        <w:t xml:space="preserve">The settlement of </w:t>
      </w:r>
      <w:r w:rsidR="003B470A">
        <w:rPr>
          <w:rFonts w:ascii="Garamond" w:hAnsi="Garamond" w:cstheme="majorBidi"/>
          <w:sz w:val="24"/>
          <w:szCs w:val="24"/>
        </w:rPr>
        <w:t xml:space="preserve">non-performing </w:t>
      </w:r>
      <w:r w:rsidRPr="00500535">
        <w:rPr>
          <w:rFonts w:ascii="Garamond" w:hAnsi="Garamond" w:cstheme="majorBidi"/>
          <w:sz w:val="24"/>
          <w:szCs w:val="24"/>
        </w:rPr>
        <w:t>financing through t</w:t>
      </w:r>
      <w:r w:rsidR="003B470A">
        <w:rPr>
          <w:rFonts w:ascii="Garamond" w:hAnsi="Garamond" w:cstheme="majorBidi"/>
          <w:sz w:val="24"/>
          <w:szCs w:val="24"/>
        </w:rPr>
        <w:t>he small claim</w:t>
      </w:r>
      <w:r w:rsidR="003B470A" w:rsidRPr="00500535">
        <w:rPr>
          <w:rFonts w:ascii="Garamond" w:hAnsi="Garamond" w:cstheme="majorBidi"/>
          <w:sz w:val="24"/>
          <w:szCs w:val="24"/>
        </w:rPr>
        <w:t xml:space="preserve"> court </w:t>
      </w:r>
      <w:r w:rsidRPr="00500535">
        <w:rPr>
          <w:rFonts w:ascii="Garamond" w:hAnsi="Garamond" w:cstheme="majorBidi"/>
          <w:sz w:val="24"/>
          <w:szCs w:val="24"/>
        </w:rPr>
        <w:t>demonstrates high effectiveness based on several indicators. First, this settlement method is appropriately targeted, as customers have been identified as failing to meet their payment obligations. By specifically targeting customers who lack the intention to fulfill their payment responsibilities, the resolution of non-performing financing can be more effective and reduce the frequenc</w:t>
      </w:r>
      <w:r w:rsidR="003B470A">
        <w:rPr>
          <w:rFonts w:ascii="Garamond" w:hAnsi="Garamond" w:cstheme="majorBidi"/>
          <w:sz w:val="24"/>
          <w:szCs w:val="24"/>
        </w:rPr>
        <w:t>y of such cases. Small claim court</w:t>
      </w:r>
      <w:r w:rsidRPr="00500535">
        <w:rPr>
          <w:rFonts w:ascii="Garamond" w:hAnsi="Garamond" w:cstheme="majorBidi"/>
          <w:sz w:val="24"/>
          <w:szCs w:val="24"/>
        </w:rPr>
        <w:t xml:space="preserve"> have a shorter duration compared to ordinary lawsuits</w:t>
      </w:r>
      <w:r w:rsidR="002C6BE3">
        <w:rPr>
          <w:rFonts w:ascii="Garamond" w:hAnsi="Garamond" w:cstheme="majorBidi"/>
          <w:sz w:val="24"/>
          <w:szCs w:val="24"/>
        </w:rPr>
        <w:t>,</w:t>
      </w:r>
      <w:r w:rsidRPr="00500535">
        <w:rPr>
          <w:rFonts w:ascii="Garamond" w:hAnsi="Garamond" w:cstheme="majorBidi"/>
          <w:sz w:val="24"/>
          <w:szCs w:val="24"/>
        </w:rPr>
        <w:t xml:space="preserve"> within a maximum of 25 working days, the process of a simple lawsuit can be conducted from initiation to final verdict, indicating that this settlement method is effective with a quicker timeline. The objectives of this settlement method are achieved by recognizing the bank's success in obtaining payment rights from customers who have defaulted on their obligations.</w:t>
      </w:r>
      <w:r>
        <w:rPr>
          <w:rFonts w:ascii="Garamond" w:hAnsi="Garamond" w:cstheme="majorBidi"/>
          <w:sz w:val="24"/>
          <w:szCs w:val="24"/>
        </w:rPr>
        <w:t xml:space="preserve"> </w:t>
      </w:r>
      <w:r w:rsidRPr="00500535">
        <w:rPr>
          <w:rFonts w:ascii="Garamond" w:hAnsi="Garamond" w:cstheme="majorBidi"/>
          <w:sz w:val="24"/>
          <w:szCs w:val="24"/>
        </w:rPr>
        <w:t>When the customer fulfills their obligations following the process or decision of the Small Claims Court, the objective is considered to have been achieved. The long-term impact that banks aim to achieve through Small Claims Courts serves as a measure of real change indicators, specifically the level of customer awareness regarding their responsibility for financing payments and the reduction in the amount of non-performing financing. Thus, a simple lawsuit is an effective settlement method for banks to address non-performing financing.</w:t>
      </w:r>
      <w:r>
        <w:rPr>
          <w:rFonts w:ascii="Garamond" w:hAnsi="Garamond" w:cstheme="majorBidi"/>
          <w:sz w:val="24"/>
          <w:szCs w:val="24"/>
        </w:rPr>
        <w:t xml:space="preserve"> </w:t>
      </w:r>
      <w:r w:rsidR="00207218" w:rsidRPr="006801FE">
        <w:rPr>
          <w:rFonts w:ascii="Garamond" w:hAnsi="Garamond" w:cstheme="majorBidi"/>
          <w:sz w:val="24"/>
          <w:szCs w:val="24"/>
        </w:rPr>
        <w:t xml:space="preserve">This </w:t>
      </w:r>
      <w:r w:rsidR="00384142">
        <w:rPr>
          <w:rFonts w:ascii="Garamond" w:hAnsi="Garamond" w:cstheme="majorBidi"/>
          <w:sz w:val="24"/>
          <w:szCs w:val="24"/>
        </w:rPr>
        <w:t>small claim court</w:t>
      </w:r>
      <w:r w:rsidR="00207218" w:rsidRPr="006801FE">
        <w:rPr>
          <w:rFonts w:ascii="Garamond" w:hAnsi="Garamond" w:cstheme="majorBidi"/>
          <w:sz w:val="24"/>
          <w:szCs w:val="24"/>
        </w:rPr>
        <w:t xml:space="preserve"> is an alternative step for resolving non-performing financing through litigation. Settlement with a </w:t>
      </w:r>
      <w:r w:rsidR="00384142">
        <w:rPr>
          <w:rFonts w:ascii="Garamond" w:hAnsi="Garamond" w:cstheme="majorBidi"/>
          <w:sz w:val="24"/>
          <w:szCs w:val="24"/>
        </w:rPr>
        <w:t>small claim court</w:t>
      </w:r>
      <w:r w:rsidR="00207218" w:rsidRPr="006801FE">
        <w:rPr>
          <w:rFonts w:ascii="Garamond" w:hAnsi="Garamond" w:cstheme="majorBidi"/>
          <w:sz w:val="24"/>
          <w:szCs w:val="24"/>
        </w:rPr>
        <w:t xml:space="preserve"> does not only provide justice to the party whose claim is accepted but also encourages the defendant to understand and fulfill the obligations that have become his responsibility.</w:t>
      </w:r>
    </w:p>
    <w:p w14:paraId="3D4AA0BD" w14:textId="77777777" w:rsidR="00F877A8" w:rsidRDefault="00F877A8" w:rsidP="00DA3604">
      <w:pPr>
        <w:spacing w:after="0" w:line="276" w:lineRule="auto"/>
        <w:ind w:firstLine="567"/>
        <w:jc w:val="both"/>
        <w:rPr>
          <w:rFonts w:ascii="Garamond" w:hAnsi="Garamond" w:cstheme="majorBidi"/>
          <w:sz w:val="24"/>
          <w:szCs w:val="24"/>
        </w:rPr>
      </w:pPr>
    </w:p>
    <w:p w14:paraId="2D4BFC90" w14:textId="77777777" w:rsidR="00F877A8" w:rsidRDefault="00F877A8" w:rsidP="00DA3604">
      <w:pPr>
        <w:spacing w:after="0" w:line="276" w:lineRule="auto"/>
        <w:ind w:firstLine="567"/>
        <w:jc w:val="both"/>
        <w:rPr>
          <w:rFonts w:ascii="Garamond" w:hAnsi="Garamond" w:cstheme="majorBidi"/>
          <w:sz w:val="24"/>
          <w:szCs w:val="24"/>
        </w:rPr>
      </w:pPr>
    </w:p>
    <w:p w14:paraId="3CA9A95D" w14:textId="77777777" w:rsidR="00F877A8" w:rsidRDefault="00F877A8" w:rsidP="00DA3604">
      <w:pPr>
        <w:spacing w:after="0" w:line="276" w:lineRule="auto"/>
        <w:ind w:firstLine="567"/>
        <w:jc w:val="both"/>
        <w:rPr>
          <w:rFonts w:ascii="Garamond" w:hAnsi="Garamond" w:cstheme="majorBidi"/>
          <w:sz w:val="24"/>
          <w:szCs w:val="24"/>
        </w:rPr>
      </w:pPr>
    </w:p>
    <w:p w14:paraId="668B4EFC" w14:textId="77777777" w:rsidR="00F877A8" w:rsidRDefault="00F877A8" w:rsidP="00DA3604">
      <w:pPr>
        <w:spacing w:after="0" w:line="276" w:lineRule="auto"/>
        <w:ind w:firstLine="567"/>
        <w:jc w:val="both"/>
        <w:rPr>
          <w:rFonts w:ascii="Garamond" w:hAnsi="Garamond" w:cstheme="majorBidi"/>
          <w:sz w:val="24"/>
          <w:szCs w:val="24"/>
          <w:lang w:eastAsia="zh-CN"/>
        </w:rPr>
      </w:pPr>
    </w:p>
    <w:p w14:paraId="50074821" w14:textId="77777777" w:rsidR="0057515B" w:rsidRPr="0057515B" w:rsidRDefault="00207218" w:rsidP="00DA1115">
      <w:pPr>
        <w:spacing w:before="120" w:after="120" w:line="276" w:lineRule="auto"/>
        <w:jc w:val="both"/>
        <w:rPr>
          <w:rFonts w:ascii="Garamond" w:eastAsia="Calibri" w:hAnsi="Garamond" w:cs="Calibri"/>
          <w:kern w:val="0"/>
          <w:sz w:val="24"/>
          <w:lang w:val="id-ID"/>
          <w14:ligatures w14:val="none"/>
        </w:rPr>
      </w:pPr>
      <w:r w:rsidRPr="0057515B">
        <w:rPr>
          <w:rFonts w:ascii="Garamond" w:eastAsia="Calibri" w:hAnsi="Garamond" w:cs="Calibri"/>
          <w:b/>
          <w:kern w:val="0"/>
          <w:sz w:val="24"/>
          <w:lang w:val="id-ID"/>
          <w14:ligatures w14:val="none"/>
        </w:rPr>
        <w:lastRenderedPageBreak/>
        <w:t>CONCLUSION</w:t>
      </w:r>
      <w:r w:rsidR="00873702">
        <w:rPr>
          <w:rFonts w:ascii="Garamond" w:eastAsia="Calibri" w:hAnsi="Garamond" w:cs="Calibri"/>
          <w:b/>
          <w:kern w:val="0"/>
          <w:sz w:val="24"/>
          <w:lang w:val="id-ID"/>
          <w14:ligatures w14:val="none"/>
        </w:rPr>
        <w:t xml:space="preserve"> </w:t>
      </w:r>
    </w:p>
    <w:p w14:paraId="4266F7CC" w14:textId="77777777" w:rsidR="002B56D3" w:rsidRPr="003D46D6" w:rsidRDefault="00207218" w:rsidP="00DA3604">
      <w:pPr>
        <w:spacing w:after="0" w:line="276" w:lineRule="auto"/>
        <w:ind w:firstLine="567"/>
        <w:jc w:val="both"/>
        <w:rPr>
          <w:rFonts w:ascii="Garamond" w:hAnsi="Garamond" w:cstheme="majorBidi"/>
          <w:sz w:val="24"/>
          <w:szCs w:val="24"/>
        </w:rPr>
      </w:pPr>
      <w:r>
        <w:rPr>
          <w:rFonts w:ascii="Garamond" w:hAnsi="Garamond" w:cs="Times New Roman"/>
          <w:sz w:val="24"/>
          <w:szCs w:val="24"/>
        </w:rPr>
        <w:t xml:space="preserve">Based on the results of the study, it can be concluded that the factor causing </w:t>
      </w:r>
      <w:r w:rsidR="00384142">
        <w:rPr>
          <w:rFonts w:ascii="Garamond" w:hAnsi="Garamond" w:cs="Times New Roman"/>
          <w:sz w:val="24"/>
          <w:szCs w:val="24"/>
        </w:rPr>
        <w:t>non-performing financing</w:t>
      </w:r>
      <w:r>
        <w:rPr>
          <w:rFonts w:ascii="Garamond" w:hAnsi="Garamond" w:cs="Times New Roman"/>
          <w:sz w:val="24"/>
          <w:szCs w:val="24"/>
        </w:rPr>
        <w:t xml:space="preserve"> is the lack of attention and sense of responsibility of customers for their obligations. The handling of non-performing financing at BSI KC Palangka Raya Diponegoro has taken a gradual approach both in written and oral form. The SOP that is carried out by the handling of non-litigation financing in general, namely through non-litigation and litigation channels, BSI KC Palangka Raya prioritizes a humanist and peaceful approach to maintain the relationship between the Bank and customers and maintains the good name of customers so that they are not known to the general public. The decision to use the litigation route was because no settlement was found through the litigation route. The </w:t>
      </w:r>
      <w:r w:rsidR="00384142">
        <w:rPr>
          <w:rFonts w:ascii="Garamond" w:hAnsi="Garamond" w:cs="Times New Roman"/>
          <w:sz w:val="24"/>
          <w:szCs w:val="24"/>
        </w:rPr>
        <w:t>small claim court</w:t>
      </w:r>
      <w:r>
        <w:rPr>
          <w:rFonts w:ascii="Garamond" w:hAnsi="Garamond" w:cs="Times New Roman"/>
          <w:sz w:val="24"/>
          <w:szCs w:val="24"/>
        </w:rPr>
        <w:t xml:space="preserve"> is an attempt to settle </w:t>
      </w:r>
      <w:r w:rsidR="00384142">
        <w:rPr>
          <w:rFonts w:ascii="Garamond" w:hAnsi="Garamond" w:cs="Times New Roman"/>
          <w:sz w:val="24"/>
          <w:szCs w:val="24"/>
        </w:rPr>
        <w:t>non-performing financing</w:t>
      </w:r>
      <w:r>
        <w:rPr>
          <w:rFonts w:ascii="Garamond" w:hAnsi="Garamond" w:cs="Times New Roman"/>
          <w:sz w:val="24"/>
          <w:szCs w:val="24"/>
        </w:rPr>
        <w:t xml:space="preserve"> carried out by BSI Kc Palangka Raya Diponegoro after unsuccessful non-litigation efforts. </w:t>
      </w:r>
      <w:r>
        <w:rPr>
          <w:rFonts w:ascii="Garamond" w:hAnsi="Garamond" w:cstheme="majorBidi"/>
          <w:sz w:val="24"/>
          <w:szCs w:val="24"/>
        </w:rPr>
        <w:t xml:space="preserve">The mechanism of the </w:t>
      </w:r>
      <w:r w:rsidR="00384142">
        <w:rPr>
          <w:rFonts w:ascii="Garamond" w:hAnsi="Garamond" w:cstheme="majorBidi"/>
          <w:sz w:val="24"/>
          <w:szCs w:val="24"/>
        </w:rPr>
        <w:t>small claim court</w:t>
      </w:r>
      <w:r>
        <w:rPr>
          <w:rFonts w:ascii="Garamond" w:hAnsi="Garamond" w:cstheme="majorBidi"/>
          <w:sz w:val="24"/>
          <w:szCs w:val="24"/>
        </w:rPr>
        <w:t xml:space="preserve"> that has been filed and solves the problem of </w:t>
      </w:r>
      <w:r w:rsidR="00384142">
        <w:rPr>
          <w:rFonts w:ascii="Garamond" w:hAnsi="Garamond" w:cstheme="majorBidi"/>
          <w:sz w:val="24"/>
          <w:szCs w:val="24"/>
        </w:rPr>
        <w:t>non-performing financing</w:t>
      </w:r>
      <w:r>
        <w:rPr>
          <w:rFonts w:ascii="Garamond" w:hAnsi="Garamond" w:cstheme="majorBidi"/>
          <w:sz w:val="24"/>
          <w:szCs w:val="24"/>
        </w:rPr>
        <w:t xml:space="preserve"> at BSI KC Palangka Raya Diponegoro is by Small Claim Court Court Regulation No. 4 of 2019 which amends Small Claim Court Court Regulation No. 2 of 2015. The next research recommendation can examine or analyze the cause of </w:t>
      </w:r>
      <w:r w:rsidR="00384142">
        <w:rPr>
          <w:rFonts w:ascii="Garamond" w:hAnsi="Garamond" w:cstheme="majorBidi"/>
          <w:sz w:val="24"/>
          <w:szCs w:val="24"/>
        </w:rPr>
        <w:t>small claim court</w:t>
      </w:r>
      <w:r>
        <w:rPr>
          <w:rFonts w:ascii="Garamond" w:hAnsi="Garamond" w:cstheme="majorBidi"/>
          <w:sz w:val="24"/>
          <w:szCs w:val="24"/>
        </w:rPr>
        <w:t xml:space="preserve">s, the frequency of application is low in the settlement of non-performing financing. The conduct of this study will help in formulating policies for handling non-performing financing and provide insight into </w:t>
      </w:r>
      <w:r w:rsidR="00384142">
        <w:rPr>
          <w:rFonts w:ascii="Garamond" w:hAnsi="Garamond" w:cstheme="majorBidi"/>
          <w:sz w:val="24"/>
          <w:szCs w:val="24"/>
        </w:rPr>
        <w:t>small claim court</w:t>
      </w:r>
      <w:r>
        <w:rPr>
          <w:rFonts w:ascii="Garamond" w:hAnsi="Garamond" w:cstheme="majorBidi"/>
          <w:sz w:val="24"/>
          <w:szCs w:val="24"/>
        </w:rPr>
        <w:t xml:space="preserve">s in resolving economic disputes, especially banking. Meanwhile, for BSI KC Palangka Raya Diponegoro, it is hoped that it can be a consideration in resolving </w:t>
      </w:r>
      <w:r w:rsidR="00384142">
        <w:rPr>
          <w:rFonts w:ascii="Garamond" w:hAnsi="Garamond" w:cstheme="majorBidi"/>
          <w:sz w:val="24"/>
          <w:szCs w:val="24"/>
        </w:rPr>
        <w:t>non-performing financing</w:t>
      </w:r>
      <w:r>
        <w:rPr>
          <w:rFonts w:ascii="Garamond" w:hAnsi="Garamond" w:cstheme="majorBidi"/>
          <w:sz w:val="24"/>
          <w:szCs w:val="24"/>
        </w:rPr>
        <w:t>.</w:t>
      </w:r>
    </w:p>
    <w:p w14:paraId="033D36D6" w14:textId="77777777" w:rsidR="003D46D6" w:rsidRDefault="00207218" w:rsidP="003D46D6">
      <w:pPr>
        <w:widowControl w:val="0"/>
        <w:autoSpaceDE w:val="0"/>
        <w:autoSpaceDN w:val="0"/>
        <w:adjustRightInd w:val="0"/>
        <w:spacing w:before="120" w:after="120" w:line="240" w:lineRule="auto"/>
        <w:rPr>
          <w:rFonts w:ascii="Garamond" w:eastAsia="Calibri" w:hAnsi="Garamond" w:cs="Calibri"/>
          <w:b/>
          <w:kern w:val="0"/>
          <w:sz w:val="24"/>
          <w:lang w:val="id-ID"/>
          <w14:ligatures w14:val="none"/>
        </w:rPr>
      </w:pPr>
      <w:r w:rsidRPr="0057515B">
        <w:rPr>
          <w:rFonts w:ascii="Garamond" w:eastAsia="Calibri" w:hAnsi="Garamond" w:cs="Calibri"/>
          <w:b/>
          <w:kern w:val="0"/>
          <w:sz w:val="24"/>
          <w:lang w:val="id-ID"/>
          <w14:ligatures w14:val="none"/>
        </w:rPr>
        <w:t xml:space="preserve">REFERENCES </w:t>
      </w:r>
    </w:p>
    <w:p w14:paraId="5E6D6E88" w14:textId="77777777" w:rsidR="0090100A" w:rsidRDefault="00207218" w:rsidP="00F877A8">
      <w:pPr>
        <w:widowControl w:val="0"/>
        <w:autoSpaceDE w:val="0"/>
        <w:autoSpaceDN w:val="0"/>
        <w:adjustRightInd w:val="0"/>
        <w:spacing w:after="0" w:line="240" w:lineRule="auto"/>
        <w:ind w:left="480" w:hanging="480"/>
        <w:jc w:val="both"/>
        <w:rPr>
          <w:rFonts w:ascii="Garamond" w:eastAsia="Calibri" w:hAnsi="Garamond" w:cs="Calibri"/>
          <w:kern w:val="0"/>
          <w:sz w:val="24"/>
          <w:szCs w:val="24"/>
          <w14:ligatures w14:val="none"/>
        </w:rPr>
      </w:pPr>
      <w:r>
        <w:rPr>
          <w:rFonts w:ascii="Garamond" w:eastAsia="Calibri" w:hAnsi="Garamond" w:cs="Calibri"/>
          <w:kern w:val="0"/>
          <w:sz w:val="24"/>
          <w:szCs w:val="24"/>
          <w14:ligatures w14:val="none"/>
        </w:rPr>
        <w:t>Al Amien M. F. 2024. “Penyelesaian Pembiayaan Bermasalah Melalui Gugatan Sederhana”. 20 Desember 2024, Bank Syariah Indonesia KC Palangka Raya Diponegoro</w:t>
      </w:r>
    </w:p>
    <w:p w14:paraId="5136E2D2" w14:textId="77B75D35" w:rsidR="00F877A8" w:rsidRPr="00F877A8" w:rsidRDefault="0020721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446945">
        <w:rPr>
          <w:rFonts w:ascii="Garamond" w:eastAsia="Calibri" w:hAnsi="Garamond" w:cs="Calibri"/>
          <w:kern w:val="0"/>
          <w:sz w:val="24"/>
          <w:szCs w:val="24"/>
          <w:lang w:val="id-ID"/>
          <w14:ligatures w14:val="none"/>
        </w:rPr>
        <w:fldChar w:fldCharType="begin" w:fldLock="1"/>
      </w:r>
      <w:r w:rsidRPr="00446945">
        <w:rPr>
          <w:rFonts w:ascii="Garamond" w:eastAsia="Calibri" w:hAnsi="Garamond" w:cs="Calibri"/>
          <w:kern w:val="0"/>
          <w:sz w:val="24"/>
          <w:szCs w:val="24"/>
          <w:lang w:val="id-ID"/>
          <w14:ligatures w14:val="none"/>
        </w:rPr>
        <w:instrText xml:space="preserve">ADDIN Mendeley Bibliography CSL_BIBLIOGRAPHY </w:instrText>
      </w:r>
      <w:r w:rsidRPr="00446945">
        <w:rPr>
          <w:rFonts w:ascii="Garamond" w:eastAsia="Calibri" w:hAnsi="Garamond" w:cs="Calibri"/>
          <w:kern w:val="0"/>
          <w:sz w:val="24"/>
          <w:szCs w:val="24"/>
          <w:lang w:val="id-ID"/>
          <w14:ligatures w14:val="none"/>
        </w:rPr>
        <w:fldChar w:fldCharType="separate"/>
      </w:r>
      <w:r w:rsidR="00F877A8" w:rsidRPr="00F877A8">
        <w:rPr>
          <w:rFonts w:ascii="Garamond" w:hAnsi="Garamond" w:cs="Times New Roman"/>
          <w:noProof/>
          <w:kern w:val="0"/>
          <w:sz w:val="24"/>
        </w:rPr>
        <w:t>Ahmad, Wahida, Nur Hazimah Amran, and Sharazad Haris. 2022. “Malaysian Household Debt</w:t>
      </w:r>
      <w:r w:rsidR="00F877A8" w:rsidRPr="00F877A8">
        <w:rPr>
          <w:rFonts w:ascii="Times New Roman" w:hAnsi="Times New Roman" w:cs="Times New Roman"/>
          <w:noProof/>
          <w:kern w:val="0"/>
          <w:sz w:val="24"/>
        </w:rPr>
        <w:t> </w:t>
      </w:r>
      <w:r w:rsidR="00F877A8" w:rsidRPr="00F877A8">
        <w:rPr>
          <w:rFonts w:ascii="Garamond" w:hAnsi="Garamond" w:cs="Times New Roman"/>
          <w:noProof/>
          <w:kern w:val="0"/>
          <w:sz w:val="24"/>
        </w:rPr>
        <w:t>: The Impact of Covid-19 on Non-Performing Financing.” 21(3).</w:t>
      </w:r>
    </w:p>
    <w:p w14:paraId="41A87425"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Al-slehat, Zaher Abdel Fattah, Sufian Radwan Almanaseer, Bader Mustafa, and Mahmoud Al. 2024. “Creditworthiness Criteria According to the 5Cs Model and Credit Decision</w:t>
      </w:r>
      <w:r w:rsidRPr="00F877A8">
        <w:rPr>
          <w:rFonts w:ascii="Times New Roman" w:hAnsi="Times New Roman" w:cs="Times New Roman"/>
          <w:noProof/>
          <w:kern w:val="0"/>
          <w:sz w:val="24"/>
        </w:rPr>
        <w:t> </w:t>
      </w:r>
      <w:r w:rsidRPr="00F877A8">
        <w:rPr>
          <w:rFonts w:ascii="Garamond" w:hAnsi="Garamond" w:cs="Times New Roman"/>
          <w:noProof/>
          <w:kern w:val="0"/>
          <w:sz w:val="24"/>
        </w:rPr>
        <w:t xml:space="preserve">: The Moderating Role of Intellectual Capital.” </w:t>
      </w:r>
      <w:r w:rsidRPr="00F877A8">
        <w:rPr>
          <w:rFonts w:ascii="Garamond" w:hAnsi="Garamond" w:cs="Times New Roman"/>
          <w:i/>
          <w:iCs/>
          <w:noProof/>
          <w:kern w:val="0"/>
          <w:sz w:val="24"/>
        </w:rPr>
        <w:t>Econ Journals</w:t>
      </w:r>
      <w:r w:rsidRPr="00F877A8">
        <w:rPr>
          <w:rFonts w:ascii="Garamond" w:hAnsi="Garamond" w:cs="Times New Roman"/>
          <w:noProof/>
          <w:kern w:val="0"/>
          <w:sz w:val="24"/>
        </w:rPr>
        <w:t xml:space="preserve"> 14(6):274–87.</w:t>
      </w:r>
    </w:p>
    <w:p w14:paraId="767C91D2"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Andrianto, and M. Anang Firmansyah. 2019. “Manajemen Bank Syariah ( Implementasi Teori Dan Praktek ).” </w:t>
      </w:r>
      <w:r w:rsidRPr="00F877A8">
        <w:rPr>
          <w:rFonts w:ascii="Garamond" w:hAnsi="Garamond" w:cs="Times New Roman"/>
          <w:i/>
          <w:iCs/>
          <w:noProof/>
          <w:kern w:val="0"/>
          <w:sz w:val="24"/>
        </w:rPr>
        <w:t>CV. Penerbit Qiara Media</w:t>
      </w:r>
      <w:r w:rsidRPr="00F877A8">
        <w:rPr>
          <w:rFonts w:ascii="Garamond" w:hAnsi="Garamond" w:cs="Times New Roman"/>
          <w:noProof/>
          <w:kern w:val="0"/>
          <w:sz w:val="24"/>
        </w:rPr>
        <w:t xml:space="preserve"> 536.</w:t>
      </w:r>
    </w:p>
    <w:p w14:paraId="23F31216"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Asia, Sitti, and Ismail Keri. 2021. “Islamic Economics and Business Journal.” </w:t>
      </w:r>
      <w:r w:rsidRPr="00F877A8">
        <w:rPr>
          <w:rFonts w:ascii="Garamond" w:hAnsi="Garamond" w:cs="Times New Roman"/>
          <w:i/>
          <w:iCs/>
          <w:noProof/>
          <w:kern w:val="0"/>
          <w:sz w:val="24"/>
        </w:rPr>
        <w:t>IEB JOURNAL Islamic Economics and Business Journal</w:t>
      </w:r>
      <w:r w:rsidRPr="00F877A8">
        <w:rPr>
          <w:rFonts w:ascii="Garamond" w:hAnsi="Garamond" w:cs="Times New Roman"/>
          <w:noProof/>
          <w:kern w:val="0"/>
          <w:sz w:val="24"/>
        </w:rPr>
        <w:t xml:space="preserve"> 3(2):37–58.</w:t>
      </w:r>
    </w:p>
    <w:p w14:paraId="3F09A5F1"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Asiyah, Binti nur. 2019. “Buku Pembiayaan.Pdf.”</w:t>
      </w:r>
    </w:p>
    <w:p w14:paraId="702FE11F"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Darmawi, Herman. 2011. </w:t>
      </w:r>
      <w:r w:rsidRPr="00F877A8">
        <w:rPr>
          <w:rFonts w:ascii="Garamond" w:hAnsi="Garamond" w:cs="Times New Roman"/>
          <w:i/>
          <w:iCs/>
          <w:noProof/>
          <w:kern w:val="0"/>
          <w:sz w:val="24"/>
        </w:rPr>
        <w:t>Manajemen Perbankan</w:t>
      </w:r>
      <w:r w:rsidRPr="00F877A8">
        <w:rPr>
          <w:rFonts w:ascii="Garamond" w:hAnsi="Garamond" w:cs="Times New Roman"/>
          <w:noProof/>
          <w:kern w:val="0"/>
          <w:sz w:val="24"/>
        </w:rPr>
        <w:t>. Jakarta: Bumi Aksara.</w:t>
      </w:r>
    </w:p>
    <w:p w14:paraId="77DC428B"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Dewi, Kartika Herlina. 2024. “Pembiayaan Bermasalah Bank Syariah Naik Jadi Rp 11.751 Triliun Per Januari 2024.” </w:t>
      </w:r>
      <w:r w:rsidRPr="00F877A8">
        <w:rPr>
          <w:rFonts w:ascii="Garamond" w:hAnsi="Garamond" w:cs="Times New Roman"/>
          <w:i/>
          <w:iCs/>
          <w:noProof/>
          <w:kern w:val="0"/>
          <w:sz w:val="24"/>
        </w:rPr>
        <w:t>Kontan.Co.Id</w:t>
      </w:r>
      <w:r w:rsidRPr="00F877A8">
        <w:rPr>
          <w:rFonts w:ascii="Garamond" w:hAnsi="Garamond" w:cs="Times New Roman"/>
          <w:noProof/>
          <w:kern w:val="0"/>
          <w:sz w:val="24"/>
        </w:rPr>
        <w:t>.</w:t>
      </w:r>
    </w:p>
    <w:p w14:paraId="57F1B812"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Fakhrunnas, Faaza, and M. B. Hendrie Anto. 2024. “Investigating the Determinants of Islamic Banks ’ Financing Quality</w:t>
      </w:r>
      <w:r w:rsidRPr="00F877A8">
        <w:rPr>
          <w:rFonts w:ascii="Times New Roman" w:hAnsi="Times New Roman" w:cs="Times New Roman"/>
          <w:noProof/>
          <w:kern w:val="0"/>
          <w:sz w:val="24"/>
        </w:rPr>
        <w:t> </w:t>
      </w:r>
      <w:r w:rsidRPr="00F877A8">
        <w:rPr>
          <w:rFonts w:ascii="Garamond" w:hAnsi="Garamond" w:cs="Times New Roman"/>
          <w:noProof/>
          <w:kern w:val="0"/>
          <w:sz w:val="24"/>
        </w:rPr>
        <w:t>: A Regional Approach.” 7(January):130–42.</w:t>
      </w:r>
    </w:p>
    <w:p w14:paraId="6F2F61D4"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Filianti, Dian, Sylva Alif, and Imam Wahyudi. 2020. “The Impact of Sectoral Financing to NPF of BPRS in Indonesia From.” 10(12):277–87.</w:t>
      </w:r>
    </w:p>
    <w:p w14:paraId="07C8F350"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Hadi, Abd. 2023. “Ratio Legis of Combining Illegal Acts with Default in Small Claim Court Cases.” 211–34.</w:t>
      </w:r>
    </w:p>
    <w:p w14:paraId="432AE9C0"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lastRenderedPageBreak/>
        <w:t>Hartanto, Agus, and Palupi L. Samputra. 2023. “Determinants of Non-Performing Financing for Islamic Commercial Banks in Indonesia with a Dynamic Panel Data Approach.” 2642(8):2629–42.</w:t>
      </w:r>
    </w:p>
    <w:p w14:paraId="60565299"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Helaludidin, and Hengki Wijaya. 2019. </w:t>
      </w:r>
      <w:r w:rsidRPr="00F877A8">
        <w:rPr>
          <w:rFonts w:ascii="Garamond" w:hAnsi="Garamond" w:cs="Times New Roman"/>
          <w:i/>
          <w:iCs/>
          <w:noProof/>
          <w:kern w:val="0"/>
          <w:sz w:val="24"/>
        </w:rPr>
        <w:t>Analisis Data Kualitatif: Sebuah Tinjauan Teori &amp; Praktik</w:t>
      </w:r>
      <w:r w:rsidRPr="00F877A8">
        <w:rPr>
          <w:rFonts w:ascii="Garamond" w:hAnsi="Garamond" w:cs="Times New Roman"/>
          <w:noProof/>
          <w:kern w:val="0"/>
          <w:sz w:val="24"/>
        </w:rPr>
        <w:t>. Makassar: Sekolah Tinggi Theologia.</w:t>
      </w:r>
    </w:p>
    <w:p w14:paraId="6AABAE57"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Herdiati, Neni. 2021. “Neni Hardiati, Sindi Widiana, Seproni Hidayat 2021.” </w:t>
      </w:r>
      <w:r w:rsidRPr="00F877A8">
        <w:rPr>
          <w:rFonts w:ascii="Garamond" w:hAnsi="Garamond" w:cs="Times New Roman"/>
          <w:i/>
          <w:iCs/>
          <w:noProof/>
          <w:kern w:val="0"/>
          <w:sz w:val="24"/>
        </w:rPr>
        <w:t>Transekonomika – Akuntansi Bisnis Dan Keuangan</w:t>
      </w:r>
      <w:r w:rsidRPr="00F877A8">
        <w:rPr>
          <w:rFonts w:ascii="Garamond" w:hAnsi="Garamond" w:cs="Times New Roman"/>
          <w:noProof/>
          <w:kern w:val="0"/>
          <w:sz w:val="24"/>
        </w:rPr>
        <w:t xml:space="preserve"> 1(5):1–12.</w:t>
      </w:r>
    </w:p>
    <w:p w14:paraId="574C3BFC"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Hernawati, Erna, Abdul Razak, Abdul Hadi, Tasya Aspiranti, and Raja Rehan. 2021. “Non-Performing Financing Among Islamic Banks in Asia-Pacific Region.” </w:t>
      </w:r>
      <w:r w:rsidRPr="00F877A8">
        <w:rPr>
          <w:rFonts w:ascii="Garamond" w:hAnsi="Garamond" w:cs="Times New Roman"/>
          <w:i/>
          <w:iCs/>
          <w:noProof/>
          <w:kern w:val="0"/>
          <w:sz w:val="24"/>
        </w:rPr>
        <w:t>Cuadernos de Economia</w:t>
      </w:r>
      <w:r w:rsidRPr="00F877A8">
        <w:rPr>
          <w:rFonts w:ascii="Garamond" w:hAnsi="Garamond" w:cs="Times New Roman"/>
          <w:noProof/>
          <w:kern w:val="0"/>
          <w:sz w:val="24"/>
        </w:rPr>
        <w:t xml:space="preserve"> 44(126):1–9.</w:t>
      </w:r>
    </w:p>
    <w:p w14:paraId="22A62078"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Isman, Ainul Fatha. 2024. </w:t>
      </w:r>
      <w:r w:rsidRPr="00F877A8">
        <w:rPr>
          <w:rFonts w:ascii="Garamond" w:hAnsi="Garamond" w:cs="Times New Roman"/>
          <w:i/>
          <w:iCs/>
          <w:noProof/>
          <w:kern w:val="0"/>
          <w:sz w:val="24"/>
        </w:rPr>
        <w:t>Merger Perbankan Syariah Di Indonesia</w:t>
      </w:r>
      <w:r w:rsidRPr="00F877A8">
        <w:rPr>
          <w:rFonts w:ascii="Garamond" w:hAnsi="Garamond" w:cs="Times New Roman"/>
          <w:noProof/>
          <w:kern w:val="0"/>
          <w:sz w:val="24"/>
        </w:rPr>
        <w:t>. Yogyakarta: Selat Media.</w:t>
      </w:r>
    </w:p>
    <w:p w14:paraId="5A3860FA"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Istiowati, Sri Indah, and Muslichah Muslichah. 2021. “Pembiayaan Mudharabah, Musyarakah, Murabahah, Dan Tingkat Profitabilitas Bank Syariah Di Indonesia.” </w:t>
      </w:r>
      <w:r w:rsidRPr="00F877A8">
        <w:rPr>
          <w:rFonts w:ascii="Garamond" w:hAnsi="Garamond" w:cs="Times New Roman"/>
          <w:i/>
          <w:iCs/>
          <w:noProof/>
          <w:kern w:val="0"/>
          <w:sz w:val="24"/>
        </w:rPr>
        <w:t>AFRE (Accounting and Financial Review)</w:t>
      </w:r>
      <w:r w:rsidRPr="00F877A8">
        <w:rPr>
          <w:rFonts w:ascii="Garamond" w:hAnsi="Garamond" w:cs="Times New Roman"/>
          <w:noProof/>
          <w:kern w:val="0"/>
          <w:sz w:val="24"/>
        </w:rPr>
        <w:t xml:space="preserve"> 4(1):30. doi: 10.26905/afr.v4i1.5476.</w:t>
      </w:r>
    </w:p>
    <w:p w14:paraId="3FED384D"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Madjid, St. Saleha, Ulil Amri, and Fakhruddin Mansyur. 2023. “Implementasi Gugatan Sederhana (Small Claim Court) Dalam Penyelesaian Sengketa Ekonomi Syari’ah Di Pengadilan Agama Kota Makassar.” </w:t>
      </w:r>
      <w:r w:rsidRPr="00F877A8">
        <w:rPr>
          <w:rFonts w:ascii="Garamond" w:hAnsi="Garamond" w:cs="Times New Roman"/>
          <w:i/>
          <w:iCs/>
          <w:noProof/>
          <w:kern w:val="0"/>
          <w:sz w:val="24"/>
        </w:rPr>
        <w:t>Jurnal Hukum Ekonomi Syariah</w:t>
      </w:r>
      <w:r w:rsidRPr="00F877A8">
        <w:rPr>
          <w:rFonts w:ascii="Garamond" w:hAnsi="Garamond" w:cs="Times New Roman"/>
          <w:noProof/>
          <w:kern w:val="0"/>
          <w:sz w:val="24"/>
        </w:rPr>
        <w:t xml:space="preserve"> 7(02):108–10. doi: 10.26618/j-hes.v7i02.12157.</w:t>
      </w:r>
    </w:p>
    <w:p w14:paraId="0A95C7E1"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Nirma Wulandari. 2023. “Strategi Penyelesaian Pembiayaan Bermasalah Dengan Metode Restrukturisasi Melalui Prinsip Ta’Awun Di Bank Syariah Indonesia Kcp Magetan 2.”</w:t>
      </w:r>
    </w:p>
    <w:p w14:paraId="2F21B76A"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Nurnasrina, A. P., and P. A. Putra. 2018. </w:t>
      </w:r>
      <w:r w:rsidRPr="00F877A8">
        <w:rPr>
          <w:rFonts w:ascii="Garamond" w:hAnsi="Garamond" w:cs="Times New Roman"/>
          <w:i/>
          <w:iCs/>
          <w:noProof/>
          <w:kern w:val="0"/>
          <w:sz w:val="24"/>
        </w:rPr>
        <w:t>Manajemen Pembiayaan Bank Syariah</w:t>
      </w:r>
      <w:r w:rsidRPr="00F877A8">
        <w:rPr>
          <w:rFonts w:ascii="Garamond" w:hAnsi="Garamond" w:cs="Times New Roman"/>
          <w:noProof/>
          <w:kern w:val="0"/>
          <w:sz w:val="24"/>
        </w:rPr>
        <w:t>.</w:t>
      </w:r>
    </w:p>
    <w:p w14:paraId="3B862B95"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Pati, Umi Khaerah, Kukuh Tejomurti, Pujiyono, and Pranoto. 2024. “THE SMALL CLAIM COURTS DURING COVID-19: ANALYSIS OF INDONESIA BANKS’ CLAIMS ON BAD CREDIT.” </w:t>
      </w:r>
      <w:r w:rsidRPr="00F877A8">
        <w:rPr>
          <w:rFonts w:ascii="Garamond" w:hAnsi="Garamond" w:cs="Times New Roman"/>
          <w:i/>
          <w:iCs/>
          <w:noProof/>
          <w:kern w:val="0"/>
          <w:sz w:val="24"/>
        </w:rPr>
        <w:t>UUM Journal of Legal Studies</w:t>
      </w:r>
      <w:r w:rsidRPr="00F877A8">
        <w:rPr>
          <w:rFonts w:ascii="Garamond" w:hAnsi="Garamond" w:cs="Times New Roman"/>
          <w:noProof/>
          <w:kern w:val="0"/>
          <w:sz w:val="24"/>
        </w:rPr>
        <w:t xml:space="preserve"> 1(1):97–120.</w:t>
      </w:r>
    </w:p>
    <w:p w14:paraId="2542D74F"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Prasetyo, Muhammad Agus, Supriyadi Supriyadi, Diah Sulistyani, and Zaenal Arifin. 2022. “Reposisi Pelaksanaan Penyelesaian Sengketa Perdata Dengan Gugatan Sederhana (Small Claim Court).” </w:t>
      </w:r>
      <w:r w:rsidRPr="00F877A8">
        <w:rPr>
          <w:rFonts w:ascii="Garamond" w:hAnsi="Garamond" w:cs="Times New Roman"/>
          <w:i/>
          <w:iCs/>
          <w:noProof/>
          <w:kern w:val="0"/>
          <w:sz w:val="24"/>
        </w:rPr>
        <w:t>Jurnal Usm Law Review</w:t>
      </w:r>
      <w:r w:rsidRPr="00F877A8">
        <w:rPr>
          <w:rFonts w:ascii="Garamond" w:hAnsi="Garamond" w:cs="Times New Roman"/>
          <w:noProof/>
          <w:kern w:val="0"/>
          <w:sz w:val="24"/>
        </w:rPr>
        <w:t xml:space="preserve"> 4(2):905. doi: 10.26623/julr.v5i1.4237.</w:t>
      </w:r>
    </w:p>
    <w:p w14:paraId="104AC5EC"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Rachmawati, Laila Dyah. 2020. “Materi Perubahan Peraturan Mahkamah Agung Tentang Gugatan Sederhana.” </w:t>
      </w:r>
      <w:r w:rsidRPr="00F877A8">
        <w:rPr>
          <w:rFonts w:ascii="Garamond" w:hAnsi="Garamond" w:cs="Times New Roman"/>
          <w:i/>
          <w:iCs/>
          <w:noProof/>
          <w:kern w:val="0"/>
          <w:sz w:val="24"/>
        </w:rPr>
        <w:t>Syariati</w:t>
      </w:r>
      <w:r w:rsidRPr="00F877A8">
        <w:rPr>
          <w:rFonts w:ascii="Times New Roman" w:hAnsi="Times New Roman" w:cs="Times New Roman"/>
          <w:i/>
          <w:iCs/>
          <w:noProof/>
          <w:kern w:val="0"/>
          <w:sz w:val="24"/>
        </w:rPr>
        <w:t> </w:t>
      </w:r>
      <w:r w:rsidRPr="00F877A8">
        <w:rPr>
          <w:rFonts w:ascii="Garamond" w:hAnsi="Garamond" w:cs="Times New Roman"/>
          <w:i/>
          <w:iCs/>
          <w:noProof/>
          <w:kern w:val="0"/>
          <w:sz w:val="24"/>
        </w:rPr>
        <w:t>: Jurnal Studi Al-Qur’an Dan Hukum</w:t>
      </w:r>
      <w:r w:rsidRPr="00F877A8">
        <w:rPr>
          <w:rFonts w:ascii="Garamond" w:hAnsi="Garamond" w:cs="Times New Roman"/>
          <w:noProof/>
          <w:kern w:val="0"/>
          <w:sz w:val="24"/>
        </w:rPr>
        <w:t xml:space="preserve"> 6(02):221–32. doi: 10.32699/syariati.v6i02.1541.</w:t>
      </w:r>
    </w:p>
    <w:p w14:paraId="1F97A882"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Ramanesty, Eisha Dwita, Ari Prasetyo, and Universitas Airlangga. 2020. “The Impact of Financial Structure , Inflation , and Economical Growth on Non-Performing Financing at Islamic Rural Bank in West Java 2011-2015.” 11(9):476–85.</w:t>
      </w:r>
    </w:p>
    <w:p w14:paraId="1828386E"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Sofiani, Trianah, and Heris Suhendar. 2023. “THE SETTLEMENT MODEL OF NON-PERFORMING FINANCING WHICH IS MORE EFFECTIVE AND LEGAL JUSTICE IN SHARIA FINANCING COMPANIES Trianah.” </w:t>
      </w:r>
      <w:r w:rsidRPr="00F877A8">
        <w:rPr>
          <w:rFonts w:ascii="Garamond" w:hAnsi="Garamond" w:cs="Times New Roman"/>
          <w:i/>
          <w:iCs/>
          <w:noProof/>
          <w:kern w:val="0"/>
          <w:sz w:val="24"/>
        </w:rPr>
        <w:t>Hukum UNISSULA</w:t>
      </w:r>
      <w:r w:rsidRPr="00F877A8">
        <w:rPr>
          <w:rFonts w:ascii="Garamond" w:hAnsi="Garamond" w:cs="Times New Roman"/>
          <w:noProof/>
          <w:kern w:val="0"/>
          <w:sz w:val="24"/>
        </w:rPr>
        <w:t xml:space="preserve"> 52(1):61–75.</w:t>
      </w:r>
    </w:p>
    <w:p w14:paraId="5A098616"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Sofyan, Syaakir. 2020. “Kebijakan Penanganan Pembiayaan Bermasalah Pada Bank Syariah Dan Konvensional Perspektif Ekonomi Syariah Pasca Bencana Di Sulawesi Tengah.” </w:t>
      </w:r>
      <w:r w:rsidRPr="00F877A8">
        <w:rPr>
          <w:rFonts w:ascii="Garamond" w:hAnsi="Garamond" w:cs="Times New Roman"/>
          <w:i/>
          <w:iCs/>
          <w:noProof/>
          <w:kern w:val="0"/>
          <w:sz w:val="24"/>
        </w:rPr>
        <w:t>Al Maal: Journal of Islamic Economics and Banking</w:t>
      </w:r>
      <w:r w:rsidRPr="00F877A8">
        <w:rPr>
          <w:rFonts w:ascii="Garamond" w:hAnsi="Garamond" w:cs="Times New Roman"/>
          <w:noProof/>
          <w:kern w:val="0"/>
          <w:sz w:val="24"/>
        </w:rPr>
        <w:t xml:space="preserve"> 2(1):83. doi: 10.31000/almaal.v2i1.2741.</w:t>
      </w:r>
    </w:p>
    <w:p w14:paraId="3A69E7B0"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Sudarto, Aye. 2020. “PENYELESAIAN PEMBIAYAAN BERMASALAH PADA LEMBAGA KEUANGAN SYARIAH STUDI BMT AL HASANAH LAMPUNG TIMUR.” </w:t>
      </w:r>
      <w:r w:rsidRPr="00F877A8">
        <w:rPr>
          <w:rFonts w:ascii="Garamond" w:hAnsi="Garamond" w:cs="Times New Roman"/>
          <w:i/>
          <w:iCs/>
          <w:noProof/>
          <w:kern w:val="0"/>
          <w:sz w:val="24"/>
        </w:rPr>
        <w:t>Islamic Banking</w:t>
      </w:r>
      <w:r w:rsidRPr="00F877A8">
        <w:rPr>
          <w:rFonts w:ascii="Garamond" w:hAnsi="Garamond" w:cs="Times New Roman"/>
          <w:noProof/>
          <w:kern w:val="0"/>
          <w:sz w:val="24"/>
        </w:rPr>
        <w:t xml:space="preserve"> 5(Mei 2017):99–116.</w:t>
      </w:r>
    </w:p>
    <w:p w14:paraId="0BEA21C8"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Sugiyono. 2019. </w:t>
      </w:r>
      <w:r w:rsidRPr="00F877A8">
        <w:rPr>
          <w:rFonts w:ascii="Garamond" w:hAnsi="Garamond" w:cs="Times New Roman"/>
          <w:i/>
          <w:iCs/>
          <w:noProof/>
          <w:kern w:val="0"/>
          <w:sz w:val="24"/>
        </w:rPr>
        <w:t>Metode Penelitian Pendidikan</w:t>
      </w:r>
      <w:r w:rsidRPr="00F877A8">
        <w:rPr>
          <w:rFonts w:ascii="Times New Roman" w:hAnsi="Times New Roman" w:cs="Times New Roman"/>
          <w:i/>
          <w:iCs/>
          <w:noProof/>
          <w:kern w:val="0"/>
          <w:sz w:val="24"/>
        </w:rPr>
        <w:t> </w:t>
      </w:r>
      <w:r w:rsidRPr="00F877A8">
        <w:rPr>
          <w:rFonts w:ascii="Garamond" w:hAnsi="Garamond" w:cs="Times New Roman"/>
          <w:i/>
          <w:iCs/>
          <w:noProof/>
          <w:kern w:val="0"/>
          <w:sz w:val="24"/>
        </w:rPr>
        <w:t>: Pendekatan Kuantitatif, Kualitatif, Dan R&amp;D</w:t>
      </w:r>
      <w:r w:rsidRPr="00F877A8">
        <w:rPr>
          <w:rFonts w:ascii="Garamond" w:hAnsi="Garamond" w:cs="Times New Roman"/>
          <w:noProof/>
          <w:kern w:val="0"/>
          <w:sz w:val="24"/>
        </w:rPr>
        <w:t>. Alfabeta.</w:t>
      </w:r>
    </w:p>
    <w:p w14:paraId="301EBD24"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Sukadi, Imam, and Erfaniah Zuhriah. 2021. “The Legal Policy of Judicial Power</w:t>
      </w:r>
      <w:r w:rsidRPr="00F877A8">
        <w:rPr>
          <w:rFonts w:ascii="Times New Roman" w:hAnsi="Times New Roman" w:cs="Times New Roman"/>
          <w:noProof/>
          <w:kern w:val="0"/>
          <w:sz w:val="24"/>
        </w:rPr>
        <w:t> </w:t>
      </w:r>
      <w:r w:rsidRPr="00F877A8">
        <w:rPr>
          <w:rFonts w:ascii="Garamond" w:hAnsi="Garamond" w:cs="Times New Roman"/>
          <w:noProof/>
          <w:kern w:val="0"/>
          <w:sz w:val="24"/>
        </w:rPr>
        <w:t>: The Idea of Implementation of Small Claim Courts in Religious Courts.” 13(1):1–13.</w:t>
      </w:r>
    </w:p>
    <w:p w14:paraId="264ACC7F"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Supriyatni, Renny. 2021. “The Urgency of Handling Non-Performing Financing in Sharia Banks in </w:t>
      </w:r>
      <w:r w:rsidRPr="00F877A8">
        <w:rPr>
          <w:rFonts w:ascii="Garamond" w:hAnsi="Garamond" w:cs="Times New Roman"/>
          <w:noProof/>
          <w:kern w:val="0"/>
          <w:sz w:val="24"/>
        </w:rPr>
        <w:lastRenderedPageBreak/>
        <w:t>the Development of Indonesian Sharia Economics.” (35):26–46.</w:t>
      </w:r>
    </w:p>
    <w:p w14:paraId="1E93E361"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Suyanto, Suyanto. 2021. “The Effect of Bad Credit and Liquidity on Bank Performance in Indonesia.” </w:t>
      </w:r>
      <w:r w:rsidRPr="00F877A8">
        <w:rPr>
          <w:rFonts w:ascii="Garamond" w:hAnsi="Garamond" w:cs="Times New Roman"/>
          <w:i/>
          <w:iCs/>
          <w:noProof/>
          <w:kern w:val="0"/>
          <w:sz w:val="24"/>
        </w:rPr>
        <w:t>Journal of Asian Finance, Economics and Business</w:t>
      </w:r>
      <w:r w:rsidRPr="00F877A8">
        <w:rPr>
          <w:rFonts w:ascii="Garamond" w:hAnsi="Garamond" w:cs="Times New Roman"/>
          <w:noProof/>
          <w:kern w:val="0"/>
          <w:sz w:val="24"/>
        </w:rPr>
        <w:t xml:space="preserve"> 8(3):451–58. doi: 10.13106/jafeb.2021.vol8.no3.0451.</w:t>
      </w:r>
    </w:p>
    <w:p w14:paraId="2A86BF68"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Ulpah, Mariya. 2020. “Strategi Penyelesaian Pembiayaan Bermasalah Pada Bank Syariah.” 3(10):1–14.</w:t>
      </w:r>
    </w:p>
    <w:p w14:paraId="0E69B0FB"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Umami, Yurida Zakky, and Adityo Putro Prakoso. 2023. “Problematika Dalam Penerapan Gugatan Sederhana Pada Penyelesaian Perkara Perdata Di Indonesia.” </w:t>
      </w:r>
      <w:r w:rsidRPr="00F877A8">
        <w:rPr>
          <w:rFonts w:ascii="Garamond" w:hAnsi="Garamond" w:cs="Times New Roman"/>
          <w:i/>
          <w:iCs/>
          <w:noProof/>
          <w:kern w:val="0"/>
          <w:sz w:val="24"/>
        </w:rPr>
        <w:t>Qistie</w:t>
      </w:r>
      <w:r w:rsidRPr="00F877A8">
        <w:rPr>
          <w:rFonts w:ascii="Garamond" w:hAnsi="Garamond" w:cs="Times New Roman"/>
          <w:noProof/>
          <w:kern w:val="0"/>
          <w:sz w:val="24"/>
        </w:rPr>
        <w:t xml:space="preserve"> 16(1):177. doi: 10.31942/jqi.v16i1.8449.</w:t>
      </w:r>
    </w:p>
    <w:p w14:paraId="07B74981"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 xml:space="preserve">Umrati, and Hengky Wijaya. 2020. </w:t>
      </w:r>
      <w:r w:rsidRPr="00F877A8">
        <w:rPr>
          <w:rFonts w:ascii="Garamond" w:hAnsi="Garamond" w:cs="Times New Roman"/>
          <w:i/>
          <w:iCs/>
          <w:noProof/>
          <w:kern w:val="0"/>
          <w:sz w:val="24"/>
        </w:rPr>
        <w:t>Analisis Data Kualitatif: Teori Konsep Dalam Penelitian Pendidikan</w:t>
      </w:r>
      <w:r w:rsidRPr="00F877A8">
        <w:rPr>
          <w:rFonts w:ascii="Garamond" w:hAnsi="Garamond" w:cs="Times New Roman"/>
          <w:noProof/>
          <w:kern w:val="0"/>
          <w:sz w:val="24"/>
        </w:rPr>
        <w:t>. Makassar: Sekolah Tinggi Theologia Jaffray.</w:t>
      </w:r>
    </w:p>
    <w:p w14:paraId="1D8B95CF"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cs="Times New Roman"/>
          <w:noProof/>
          <w:kern w:val="0"/>
          <w:sz w:val="24"/>
        </w:rPr>
      </w:pPr>
      <w:r w:rsidRPr="00F877A8">
        <w:rPr>
          <w:rFonts w:ascii="Garamond" w:hAnsi="Garamond" w:cs="Times New Roman"/>
          <w:noProof/>
          <w:kern w:val="0"/>
          <w:sz w:val="24"/>
        </w:rPr>
        <w:t>Wibowo, Seno Adhi. 2021. “Lex Scientia Law Review Implementation of the Small Claims Court in Dispute Case Settlement in Indonesia.” 5(May):165–78. doi: 10.15294/lesrev.v5i1.42859.</w:t>
      </w:r>
    </w:p>
    <w:p w14:paraId="0EFEE5AB" w14:textId="77777777" w:rsidR="00F877A8" w:rsidRPr="00F877A8" w:rsidRDefault="00F877A8" w:rsidP="00F877A8">
      <w:pPr>
        <w:widowControl w:val="0"/>
        <w:autoSpaceDE w:val="0"/>
        <w:autoSpaceDN w:val="0"/>
        <w:adjustRightInd w:val="0"/>
        <w:spacing w:after="0" w:line="240" w:lineRule="auto"/>
        <w:ind w:left="480" w:hanging="480"/>
        <w:jc w:val="both"/>
        <w:rPr>
          <w:rFonts w:ascii="Garamond" w:hAnsi="Garamond"/>
          <w:noProof/>
          <w:sz w:val="24"/>
        </w:rPr>
      </w:pPr>
      <w:r w:rsidRPr="00F877A8">
        <w:rPr>
          <w:rFonts w:ascii="Garamond" w:hAnsi="Garamond" w:cs="Times New Roman"/>
          <w:noProof/>
          <w:kern w:val="0"/>
          <w:sz w:val="24"/>
        </w:rPr>
        <w:t xml:space="preserve">Zahratunnisa, Zahratunnisa, Khofifah Indar Mawar Sari, and Jeby Fahira. 2023. “Strategi Penanganan Pembiayaan Bermasalah Di Bank Syariah.” </w:t>
      </w:r>
      <w:r w:rsidRPr="00F877A8">
        <w:rPr>
          <w:rFonts w:ascii="Garamond" w:hAnsi="Garamond" w:cs="Times New Roman"/>
          <w:i/>
          <w:iCs/>
          <w:noProof/>
          <w:kern w:val="0"/>
          <w:sz w:val="24"/>
        </w:rPr>
        <w:t>JIOSE: Journal of Indonesian Sharia Economics</w:t>
      </w:r>
      <w:r w:rsidRPr="00F877A8">
        <w:rPr>
          <w:rFonts w:ascii="Garamond" w:hAnsi="Garamond" w:cs="Times New Roman"/>
          <w:noProof/>
          <w:kern w:val="0"/>
          <w:sz w:val="24"/>
        </w:rPr>
        <w:t xml:space="preserve"> 2(1):93–106. doi: 10.35878/jiose.v2i1.552.</w:t>
      </w:r>
    </w:p>
    <w:p w14:paraId="0B468AC5" w14:textId="77777777" w:rsidR="003D46D6" w:rsidRPr="00446945" w:rsidRDefault="00207218" w:rsidP="00F877A8">
      <w:pPr>
        <w:widowControl w:val="0"/>
        <w:autoSpaceDE w:val="0"/>
        <w:autoSpaceDN w:val="0"/>
        <w:adjustRightInd w:val="0"/>
        <w:spacing w:after="0" w:line="240" w:lineRule="auto"/>
        <w:jc w:val="both"/>
        <w:rPr>
          <w:rFonts w:ascii="Garamond" w:eastAsia="Calibri" w:hAnsi="Garamond" w:cs="Calibri"/>
          <w:kern w:val="0"/>
          <w:sz w:val="24"/>
          <w:szCs w:val="24"/>
          <w:lang w:val="id-ID"/>
          <w14:ligatures w14:val="none"/>
        </w:rPr>
      </w:pPr>
      <w:r w:rsidRPr="00446945">
        <w:rPr>
          <w:rFonts w:ascii="Garamond" w:eastAsia="Calibri" w:hAnsi="Garamond" w:cs="Calibri"/>
          <w:kern w:val="0"/>
          <w:sz w:val="24"/>
          <w:szCs w:val="24"/>
          <w:lang w:val="id-ID"/>
          <w14:ligatures w14:val="none"/>
        </w:rPr>
        <w:fldChar w:fldCharType="end"/>
      </w:r>
    </w:p>
    <w:p w14:paraId="2C465BA5" w14:textId="77777777" w:rsidR="0057515B" w:rsidRPr="00446945" w:rsidRDefault="00207218" w:rsidP="0057515B">
      <w:pPr>
        <w:spacing w:after="0" w:line="240" w:lineRule="auto"/>
        <w:ind w:left="720" w:hanging="720"/>
        <w:jc w:val="both"/>
        <w:rPr>
          <w:rFonts w:ascii="Garamond" w:eastAsia="Calibri" w:hAnsi="Garamond" w:cs="Calibri"/>
          <w:kern w:val="0"/>
          <w:sz w:val="24"/>
          <w:szCs w:val="24"/>
          <w:lang w:val="id-ID"/>
          <w14:ligatures w14:val="none"/>
        </w:rPr>
      </w:pPr>
      <w:r w:rsidRPr="00446945">
        <w:rPr>
          <w:rFonts w:ascii="Garamond" w:eastAsia="Calibri" w:hAnsi="Garamond" w:cs="Calibri"/>
          <w:kern w:val="0"/>
          <w:sz w:val="24"/>
          <w:szCs w:val="24"/>
          <w:lang w:val="id-ID"/>
          <w14:ligatures w14:val="none"/>
        </w:rPr>
        <w:tab/>
      </w:r>
    </w:p>
    <w:p w14:paraId="223685A3" w14:textId="77777777" w:rsidR="0057515B" w:rsidRPr="00446945" w:rsidRDefault="0057515B" w:rsidP="0057515B">
      <w:pPr>
        <w:spacing w:after="0" w:line="240" w:lineRule="auto"/>
        <w:ind w:left="720" w:hanging="720"/>
        <w:jc w:val="both"/>
        <w:rPr>
          <w:rFonts w:ascii="Garamond" w:eastAsia="Calibri" w:hAnsi="Garamond" w:cs="Calibri"/>
          <w:kern w:val="0"/>
          <w:sz w:val="24"/>
          <w:szCs w:val="24"/>
          <w:lang w:val="id-ID"/>
          <w14:ligatures w14:val="none"/>
        </w:rPr>
      </w:pPr>
    </w:p>
    <w:p w14:paraId="20B176A3" w14:textId="77777777" w:rsidR="0057515B" w:rsidRPr="004A739C" w:rsidRDefault="0057515B" w:rsidP="00337713">
      <w:pPr>
        <w:jc w:val="center"/>
        <w:rPr>
          <w:rFonts w:ascii="Garamond" w:hAnsi="Garamond"/>
        </w:rPr>
      </w:pPr>
    </w:p>
    <w:sectPr w:rsidR="0057515B" w:rsidRPr="004A739C" w:rsidSect="003466EA">
      <w:headerReference w:type="default" r:id="rId11"/>
      <w:footerReference w:type="default" r:id="rId12"/>
      <w:pgSz w:w="11906" w:h="16838"/>
      <w:pgMar w:top="1701" w:right="1418" w:bottom="1559" w:left="1418" w:header="720" w:footer="720" w:gutter="0"/>
      <w:pgNumType w:start="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4A4E" w14:textId="77777777" w:rsidR="005D52D5" w:rsidRDefault="005D52D5">
      <w:pPr>
        <w:spacing w:after="0" w:line="240" w:lineRule="auto"/>
      </w:pPr>
      <w:r>
        <w:separator/>
      </w:r>
    </w:p>
  </w:endnote>
  <w:endnote w:type="continuationSeparator" w:id="0">
    <w:p w14:paraId="005870CF" w14:textId="77777777" w:rsidR="005D52D5" w:rsidRDefault="005D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29609"/>
      <w:docPartObj>
        <w:docPartGallery w:val="Page Numbers (Bottom of Page)"/>
        <w:docPartUnique/>
      </w:docPartObj>
    </w:sdtPr>
    <w:sdtEndPr>
      <w:rPr>
        <w:noProof/>
      </w:rPr>
    </w:sdtEndPr>
    <w:sdtContent>
      <w:p w14:paraId="31D5EFED" w14:textId="3356F7CA" w:rsidR="003466EA" w:rsidRDefault="003466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F8978" w14:textId="77777777" w:rsidR="003466EA" w:rsidRDefault="0034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82924" w14:textId="77777777" w:rsidR="005D52D5" w:rsidRDefault="005D52D5">
      <w:pPr>
        <w:spacing w:after="0" w:line="240" w:lineRule="auto"/>
      </w:pPr>
      <w:r>
        <w:separator/>
      </w:r>
    </w:p>
  </w:footnote>
  <w:footnote w:type="continuationSeparator" w:id="0">
    <w:p w14:paraId="0C3A257F" w14:textId="77777777" w:rsidR="005D52D5" w:rsidRDefault="005D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D02D" w14:textId="42505A5A" w:rsidR="009A4D05" w:rsidRPr="00D84C67" w:rsidRDefault="003466EA" w:rsidP="003466EA">
    <w:pPr>
      <w:spacing w:after="0" w:line="240" w:lineRule="auto"/>
      <w:contextualSpacing/>
      <w:rPr>
        <w:rFonts w:ascii="Garamond" w:hAnsi="Garamond"/>
        <w:i/>
        <w:iCs/>
        <w:sz w:val="18"/>
        <w:szCs w:val="18"/>
      </w:rPr>
    </w:pPr>
    <w:r w:rsidRPr="003466EA">
      <w:rPr>
        <w:rFonts w:ascii="Garamond" w:hAnsi="Garamond"/>
        <w:i/>
        <w:iCs/>
        <w:sz w:val="18"/>
        <w:szCs w:val="18"/>
      </w:rPr>
      <w:t>Nurul Ayatul Maimunah, Muhammad Zainal Arifin, Fadiah Adlina</w:t>
    </w:r>
    <w:r w:rsidR="009A4D05" w:rsidRPr="00D84C67">
      <w:rPr>
        <w:rFonts w:ascii="Garamond" w:hAnsi="Garamond"/>
        <w:i/>
        <w:iCs/>
        <w:caps/>
        <w:sz w:val="18"/>
        <w:szCs w:val="18"/>
      </w:rPr>
      <w:tab/>
      <w:t xml:space="preserve">         </w:t>
    </w:r>
    <w:r w:rsidR="009A4D05" w:rsidRPr="00D84C67">
      <w:rPr>
        <w:rFonts w:ascii="Garamond" w:hAnsi="Garamond"/>
        <w:i/>
        <w:iCs/>
        <w:caps/>
        <w:sz w:val="18"/>
        <w:szCs w:val="18"/>
      </w:rPr>
      <w:tab/>
    </w:r>
    <w:r w:rsidR="009A4D05" w:rsidRPr="00D84C67">
      <w:rPr>
        <w:rFonts w:ascii="Garamond" w:hAnsi="Garamond"/>
        <w:i/>
        <w:iCs/>
        <w:caps/>
        <w:sz w:val="18"/>
        <w:szCs w:val="18"/>
      </w:rPr>
      <w:tab/>
    </w:r>
    <w:r w:rsidR="009A4D05">
      <w:rPr>
        <w:rFonts w:ascii="Garamond" w:hAnsi="Garamond"/>
        <w:i/>
        <w:iCs/>
        <w:caps/>
        <w:sz w:val="18"/>
        <w:szCs w:val="18"/>
      </w:rPr>
      <w:t xml:space="preserve">         </w:t>
    </w:r>
    <w:r w:rsidR="009A4D05" w:rsidRPr="00D84C67">
      <w:rPr>
        <w:rFonts w:ascii="Garamond" w:hAnsi="Garamond"/>
        <w:i/>
        <w:iCs/>
        <w:sz w:val="18"/>
        <w:szCs w:val="18"/>
      </w:rPr>
      <w:t xml:space="preserve">Al-Mashrafiyah Vol. </w:t>
    </w:r>
    <w:r>
      <w:rPr>
        <w:rFonts w:ascii="Garamond" w:hAnsi="Garamond"/>
        <w:i/>
        <w:iCs/>
        <w:sz w:val="18"/>
        <w:szCs w:val="18"/>
      </w:rPr>
      <w:t>9</w:t>
    </w:r>
    <w:r w:rsidR="009A4D05" w:rsidRPr="00D84C67">
      <w:rPr>
        <w:rFonts w:ascii="Garamond" w:hAnsi="Garamond"/>
        <w:i/>
        <w:iCs/>
        <w:sz w:val="18"/>
        <w:szCs w:val="18"/>
      </w:rPr>
      <w:t>, No.</w:t>
    </w:r>
    <w:r>
      <w:rPr>
        <w:rFonts w:ascii="Garamond" w:hAnsi="Garamond"/>
        <w:i/>
        <w:iCs/>
        <w:sz w:val="18"/>
        <w:szCs w:val="18"/>
      </w:rPr>
      <w:t>1</w:t>
    </w:r>
    <w:r w:rsidR="009A4D05" w:rsidRPr="00D84C67">
      <w:rPr>
        <w:rFonts w:ascii="Garamond" w:hAnsi="Garamond"/>
        <w:i/>
        <w:iCs/>
        <w:sz w:val="18"/>
        <w:szCs w:val="18"/>
      </w:rPr>
      <w:t>,</w:t>
    </w:r>
    <w:r>
      <w:rPr>
        <w:rFonts w:ascii="Garamond" w:hAnsi="Garamond"/>
        <w:i/>
        <w:iCs/>
        <w:sz w:val="18"/>
        <w:szCs w:val="18"/>
      </w:rPr>
      <w:t xml:space="preserve"> April</w:t>
    </w:r>
    <w:r w:rsidR="009A4D05" w:rsidRPr="00D84C67">
      <w:rPr>
        <w:rFonts w:ascii="Garamond" w:hAnsi="Garamond"/>
        <w:i/>
        <w:iCs/>
        <w:sz w:val="18"/>
        <w:szCs w:val="18"/>
      </w:rPr>
      <w:t xml:space="preserve"> (202</w:t>
    </w:r>
    <w:r>
      <w:rPr>
        <w:rFonts w:ascii="Garamond" w:hAnsi="Garamond"/>
        <w:i/>
        <w:iCs/>
        <w:sz w:val="18"/>
        <w:szCs w:val="18"/>
      </w:rPr>
      <w:t>5</w:t>
    </w:r>
    <w:r w:rsidR="009A4D05" w:rsidRPr="00D84C67">
      <w:rPr>
        <w:rFonts w:ascii="Garamond" w:hAnsi="Garamond"/>
        <w:i/>
        <w:iCs/>
        <w:sz w:val="18"/>
        <w:szCs w:val="18"/>
      </w:rPr>
      <w:t>)</w:t>
    </w:r>
  </w:p>
  <w:p w14:paraId="163E2D49" w14:textId="77777777" w:rsidR="009A4D05" w:rsidRDefault="009A4D05" w:rsidP="00470967">
    <w:pPr>
      <w:spacing w:after="3" w:line="248" w:lineRule="auto"/>
      <w:ind w:left="709" w:hanging="10"/>
      <w:rPr>
        <w:rFonts w:ascii="Garamond" w:eastAsia="Garamond" w:hAnsi="Garamond" w:cs="Garamond"/>
        <w:b/>
        <w:sz w:val="24"/>
      </w:rPr>
    </w:pPr>
  </w:p>
  <w:p w14:paraId="6A5C0250" w14:textId="77777777" w:rsidR="009A4D05" w:rsidRDefault="009A4D05" w:rsidP="00470967">
    <w:pPr>
      <w:spacing w:after="3" w:line="248" w:lineRule="auto"/>
      <w:ind w:left="1276" w:hanging="10"/>
    </w:pPr>
    <w:r>
      <w:rPr>
        <w:noProof/>
      </w:rPr>
      <mc:AlternateContent>
        <mc:Choice Requires="wpg">
          <w:drawing>
            <wp:anchor distT="0" distB="0" distL="114300" distR="114300" simplePos="0" relativeHeight="251658240" behindDoc="1" locked="0" layoutInCell="1" allowOverlap="1" wp14:anchorId="1E6794DE" wp14:editId="06C6C472">
              <wp:simplePos x="0" y="0"/>
              <wp:positionH relativeFrom="column">
                <wp:posOffset>189230</wp:posOffset>
              </wp:positionH>
              <wp:positionV relativeFrom="paragraph">
                <wp:posOffset>34290</wp:posOffset>
              </wp:positionV>
              <wp:extent cx="5549900" cy="713740"/>
              <wp:effectExtent l="0" t="0" r="12700" b="10160"/>
              <wp:wrapNone/>
              <wp:docPr id="15017" name="Group 15017"/>
              <wp:cNvGraphicFramePr/>
              <a:graphic xmlns:a="http://schemas.openxmlformats.org/drawingml/2006/main">
                <a:graphicData uri="http://schemas.microsoft.com/office/word/2010/wordprocessingGroup">
                  <wpg:wgp>
                    <wpg:cNvGrpSpPr/>
                    <wpg:grpSpPr>
                      <a:xfrm>
                        <a:off x="0" y="0"/>
                        <a:ext cx="5549900" cy="713740"/>
                        <a:chOff x="0" y="0"/>
                        <a:chExt cx="5550281" cy="713994"/>
                      </a:xfrm>
                    </wpg:grpSpPr>
                    <wps:wsp>
                      <wps:cNvPr id="267" name="Shape 267"/>
                      <wps:cNvSpPr/>
                      <wps:spPr>
                        <a:xfrm>
                          <a:off x="1524" y="690372"/>
                          <a:ext cx="5547995" cy="0"/>
                        </a:xfrm>
                        <a:custGeom>
                          <a:avLst/>
                          <a:gdLst/>
                          <a:ahLst/>
                          <a:cxnLst/>
                          <a:rect l="0" t="0" r="0" b="0"/>
                          <a:pathLst>
                            <a:path w="5547995">
                              <a:moveTo>
                                <a:pt x="0" y="0"/>
                              </a:moveTo>
                              <a:lnTo>
                                <a:pt x="5547995" y="0"/>
                              </a:lnTo>
                            </a:path>
                          </a:pathLst>
                        </a:custGeom>
                        <a:ln w="6096">
                          <a:round/>
                        </a:ln>
                      </wps:spPr>
                      <wps:style>
                        <a:lnRef idx="1">
                          <a:srgbClr val="000000"/>
                        </a:lnRef>
                        <a:fillRef idx="0">
                          <a:srgbClr val="000000">
                            <a:alpha val="0"/>
                          </a:srgbClr>
                        </a:fillRef>
                        <a:effectRef idx="0">
                          <a:scrgbClr r="0" g="0" b="0"/>
                        </a:effectRef>
                        <a:fontRef idx="none"/>
                      </wps:style>
                      <wps:bodyPr/>
                    </wps:wsp>
                    <wps:wsp>
                      <wps:cNvPr id="268" name="Shape 268"/>
                      <wps:cNvSpPr/>
                      <wps:spPr>
                        <a:xfrm>
                          <a:off x="2286" y="713994"/>
                          <a:ext cx="5547995" cy="0"/>
                        </a:xfrm>
                        <a:custGeom>
                          <a:avLst/>
                          <a:gdLst/>
                          <a:ahLst/>
                          <a:cxnLst/>
                          <a:rect l="0" t="0" r="0" b="0"/>
                          <a:pathLst>
                            <a:path w="5547995">
                              <a:moveTo>
                                <a:pt x="0" y="0"/>
                              </a:moveTo>
                              <a:lnTo>
                                <a:pt x="5547995" y="0"/>
                              </a:lnTo>
                            </a:path>
                          </a:pathLst>
                        </a:custGeom>
                        <a:ln w="19812">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0" name="Picture 270"/>
                        <pic:cNvPicPr/>
                      </pic:nvPicPr>
                      <pic:blipFill>
                        <a:blip r:embed="rId1"/>
                        <a:stretch>
                          <a:fillRect/>
                        </a:stretch>
                      </pic:blipFill>
                      <pic:spPr>
                        <a:xfrm>
                          <a:off x="0" y="0"/>
                          <a:ext cx="475488" cy="640080"/>
                        </a:xfrm>
                        <a:prstGeom prst="rect">
                          <a:avLst/>
                        </a:prstGeom>
                      </pic:spPr>
                    </pic:pic>
                  </wpg:wgp>
                </a:graphicData>
              </a:graphic>
              <wp14:sizeRelH relativeFrom="margin">
                <wp14:pctWidth>0</wp14:pctWidth>
              </wp14:sizeRelH>
            </wp:anchor>
          </w:drawing>
        </mc:Choice>
        <mc:Fallback>
          <w:pict>
            <v:group id="Group 15017" o:spid="_x0000_s2049" style="width:437pt;height:56.2pt;margin-top:2.7pt;margin-left:14.9pt;mso-width-relative:margin;position:absolute;z-index:-251657216" coordsize="55502,7139">
              <v:shape id="Shape 267" o:spid="_x0000_s2050" style="width:55480;height:0;left:15;mso-wrap-style:square;position:absolute;top:6903;visibility:visible;v-text-anchor:top" coordsize="5547995,0" path="m,l5547995,e" filled="f" strokeweight="0.48pt">
                <v:path arrowok="t" textboxrect="0,0,5547995,0"/>
              </v:shape>
              <v:shape id="Shape 268" o:spid="_x0000_s2051" style="width:55480;height:0;left:22;mso-wrap-style:square;position:absolute;top:7139;visibility:visible;v-text-anchor:top" coordsize="5547995,0" path="m,l5547995,e" filled="f" strokeweight="1.56pt">
                <v:path arrowok="t" textboxrect="0,0,554799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 o:spid="_x0000_s2052" type="#_x0000_t75" style="width:4754;height:6400;mso-wrap-style:square;position:absolute;visibility:visible">
                <v:imagedata r:id="rId2" o:title=""/>
              </v:shape>
            </v:group>
          </w:pict>
        </mc:Fallback>
      </mc:AlternateContent>
    </w:r>
    <w:r>
      <w:rPr>
        <w:rFonts w:ascii="Garamond" w:eastAsia="Garamond" w:hAnsi="Garamond" w:cs="Garamond"/>
        <w:b/>
        <w:sz w:val="24"/>
      </w:rPr>
      <w:t xml:space="preserve">Al-Mashrafiyah: </w:t>
    </w:r>
    <w:r>
      <w:rPr>
        <w:rFonts w:ascii="Garamond" w:eastAsia="Garamond" w:hAnsi="Garamond" w:cs="Garamond"/>
        <w:sz w:val="24"/>
      </w:rPr>
      <w:t xml:space="preserve">Jurnal Ekonomi, Keuangan dan Perbankan Syariah </w:t>
    </w:r>
  </w:p>
  <w:p w14:paraId="66D1AB20" w14:textId="77777777" w:rsidR="009A4D05" w:rsidRDefault="009A4D05" w:rsidP="00470967">
    <w:pPr>
      <w:pStyle w:val="Heading1"/>
      <w:ind w:left="1276" w:hanging="10"/>
      <w:jc w:val="left"/>
    </w:pPr>
    <w:r>
      <w:rPr>
        <w:sz w:val="24"/>
      </w:rPr>
      <w:t xml:space="preserve">ISSN (p): </w:t>
    </w:r>
    <w:hyperlink r:id="rId3">
      <w:r>
        <w:rPr>
          <w:color w:val="006FC0"/>
          <w:sz w:val="24"/>
        </w:rPr>
        <w:t>2597</w:t>
      </w:r>
    </w:hyperlink>
    <w:hyperlink r:id="rId4">
      <w:r>
        <w:rPr>
          <w:color w:val="006FC0"/>
          <w:sz w:val="24"/>
        </w:rPr>
        <w:t>-</w:t>
      </w:r>
    </w:hyperlink>
    <w:hyperlink r:id="rId5">
      <w:r>
        <w:rPr>
          <w:color w:val="006FC0"/>
          <w:sz w:val="24"/>
        </w:rPr>
        <w:t xml:space="preserve">4904 </w:t>
      </w:r>
    </w:hyperlink>
    <w:hyperlink r:id="rId6">
      <w:r>
        <w:rPr>
          <w:sz w:val="24"/>
        </w:rPr>
        <w:t>I</w:t>
      </w:r>
    </w:hyperlink>
    <w:r>
      <w:rPr>
        <w:sz w:val="24"/>
      </w:rPr>
      <w:t xml:space="preserve">SSN (e) : </w:t>
    </w:r>
    <w:hyperlink r:id="rId7">
      <w:r>
        <w:rPr>
          <w:color w:val="006FC0"/>
          <w:sz w:val="24"/>
        </w:rPr>
        <w:t>2620</w:t>
      </w:r>
    </w:hyperlink>
    <w:hyperlink r:id="rId8">
      <w:r>
        <w:rPr>
          <w:color w:val="006FC0"/>
          <w:sz w:val="24"/>
        </w:rPr>
        <w:t>-</w:t>
      </w:r>
    </w:hyperlink>
    <w:hyperlink r:id="rId9">
      <w:r>
        <w:rPr>
          <w:color w:val="006FC0"/>
          <w:sz w:val="24"/>
        </w:rPr>
        <w:t>5661</w:t>
      </w:r>
    </w:hyperlink>
    <w:hyperlink r:id="rId10">
      <w:r>
        <w:rPr>
          <w:sz w:val="24"/>
        </w:rPr>
        <w:t xml:space="preserve"> </w:t>
      </w:r>
    </w:hyperlink>
  </w:p>
  <w:p w14:paraId="149ED254" w14:textId="6E3C852E" w:rsidR="009A4D05" w:rsidRDefault="009A4D05" w:rsidP="00470967">
    <w:pPr>
      <w:spacing w:after="3" w:line="248" w:lineRule="auto"/>
      <w:ind w:left="1276" w:hanging="10"/>
    </w:pPr>
    <w:r>
      <w:rPr>
        <w:rFonts w:ascii="Garamond" w:eastAsia="Garamond" w:hAnsi="Garamond" w:cs="Garamond"/>
        <w:sz w:val="24"/>
      </w:rPr>
      <w:t xml:space="preserve">Volume </w:t>
    </w:r>
    <w:r w:rsidR="00F877A8">
      <w:rPr>
        <w:rFonts w:ascii="Garamond" w:eastAsia="Garamond" w:hAnsi="Garamond" w:cs="Garamond"/>
        <w:sz w:val="24"/>
      </w:rPr>
      <w:t>9</w:t>
    </w:r>
    <w:r>
      <w:rPr>
        <w:rFonts w:ascii="Garamond" w:eastAsia="Garamond" w:hAnsi="Garamond" w:cs="Garamond"/>
        <w:sz w:val="24"/>
      </w:rPr>
      <w:t xml:space="preserve">, Nomor </w:t>
    </w:r>
    <w:r w:rsidR="00F877A8">
      <w:rPr>
        <w:rFonts w:ascii="Garamond" w:eastAsia="Garamond" w:hAnsi="Garamond" w:cs="Garamond"/>
        <w:sz w:val="24"/>
      </w:rPr>
      <w:t>1</w:t>
    </w:r>
    <w:r>
      <w:rPr>
        <w:rFonts w:ascii="Garamond" w:eastAsia="Garamond" w:hAnsi="Garamond" w:cs="Garamond"/>
        <w:sz w:val="24"/>
      </w:rPr>
      <w:t xml:space="preserve">, </w:t>
    </w:r>
    <w:r w:rsidR="00F877A8">
      <w:rPr>
        <w:rFonts w:ascii="Garamond" w:eastAsia="Garamond" w:hAnsi="Garamond" w:cs="Garamond"/>
        <w:sz w:val="24"/>
      </w:rPr>
      <w:t xml:space="preserve">April </w:t>
    </w:r>
    <w:r>
      <w:rPr>
        <w:rFonts w:ascii="Garamond" w:eastAsia="Garamond" w:hAnsi="Garamond" w:cs="Garamond"/>
        <w:sz w:val="24"/>
      </w:rPr>
      <w:t>(202</w:t>
    </w:r>
    <w:r w:rsidR="00F877A8">
      <w:rPr>
        <w:rFonts w:ascii="Garamond" w:eastAsia="Garamond" w:hAnsi="Garamond" w:cs="Garamond"/>
        <w:sz w:val="24"/>
      </w:rPr>
      <w:t>5</w:t>
    </w:r>
    <w:r>
      <w:rPr>
        <w:rFonts w:ascii="Garamond" w:eastAsia="Garamond" w:hAnsi="Garamond" w:cs="Garamond"/>
        <w:sz w:val="24"/>
      </w:rPr>
      <w:t>), h.</w:t>
    </w:r>
    <w:r w:rsidR="003466EA">
      <w:rPr>
        <w:rFonts w:ascii="Garamond" w:eastAsia="Garamond" w:hAnsi="Garamond" w:cs="Garamond"/>
        <w:sz w:val="24"/>
      </w:rPr>
      <w:t>51-69</w:t>
    </w:r>
  </w:p>
  <w:p w14:paraId="2BF7A2FB" w14:textId="6002C80C" w:rsidR="009A4D05" w:rsidRDefault="009A4D05" w:rsidP="00470967">
    <w:pPr>
      <w:spacing w:after="75" w:line="248" w:lineRule="auto"/>
      <w:ind w:left="1276" w:hanging="10"/>
      <w:rPr>
        <w:rFonts w:ascii="Garamond" w:eastAsia="Garamond" w:hAnsi="Garamond" w:cs="Garamond"/>
        <w:sz w:val="24"/>
      </w:rPr>
    </w:pPr>
    <w:r w:rsidRPr="00D9789B">
      <w:rPr>
        <w:rFonts w:ascii="Garamond" w:eastAsia="Garamond" w:hAnsi="Garamond" w:cs="Garamond"/>
        <w:sz w:val="24"/>
      </w:rPr>
      <w:t>10.24252/al-mashrafiyah.v</w:t>
    </w:r>
    <w:r w:rsidR="003466EA">
      <w:rPr>
        <w:rFonts w:ascii="Garamond" w:eastAsia="Garamond" w:hAnsi="Garamond" w:cs="Garamond"/>
        <w:sz w:val="24"/>
      </w:rPr>
      <w:t>9</w:t>
    </w:r>
    <w:r w:rsidRPr="00D9789B">
      <w:rPr>
        <w:rFonts w:ascii="Garamond" w:eastAsia="Garamond" w:hAnsi="Garamond" w:cs="Garamond"/>
        <w:sz w:val="24"/>
      </w:rPr>
      <w:t>i</w:t>
    </w:r>
    <w:r w:rsidR="003466EA">
      <w:rPr>
        <w:rFonts w:ascii="Garamond" w:eastAsia="Garamond" w:hAnsi="Garamond" w:cs="Garamond"/>
        <w:sz w:val="24"/>
      </w:rPr>
      <w:t>1</w:t>
    </w:r>
    <w:r w:rsidRPr="00D9789B">
      <w:rPr>
        <w:rFonts w:ascii="Garamond" w:eastAsia="Garamond" w:hAnsi="Garamond" w:cs="Garamond"/>
        <w:sz w:val="24"/>
      </w:rPr>
      <w:t>.</w:t>
    </w:r>
    <w:r w:rsidR="003466EA">
      <w:rPr>
        <w:rFonts w:ascii="Garamond" w:eastAsia="Garamond" w:hAnsi="Garamond" w:cs="Garamond"/>
        <w:sz w:val="24"/>
      </w:rPr>
      <w:t>55509</w:t>
    </w:r>
    <w:r>
      <w:rPr>
        <w:rFonts w:ascii="Garamond" w:eastAsia="Garamond" w:hAnsi="Garamond" w:cs="Garamond"/>
        <w:sz w:val="24"/>
      </w:rPr>
      <w:t xml:space="preserve"> </w:t>
    </w:r>
  </w:p>
  <w:p w14:paraId="56342F14" w14:textId="77777777" w:rsidR="009A4D05" w:rsidRDefault="009A4D05" w:rsidP="00470967">
    <w:pPr>
      <w:spacing w:after="75" w:line="248" w:lineRule="auto"/>
      <w:ind w:left="1276" w:hanging="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31C8"/>
    <w:multiLevelType w:val="hybridMultilevel"/>
    <w:tmpl w:val="CFA8F1A6"/>
    <w:lvl w:ilvl="0" w:tplc="F28454E0">
      <w:start w:val="1"/>
      <w:numFmt w:val="decimal"/>
      <w:lvlText w:val="%1)"/>
      <w:lvlJc w:val="left"/>
      <w:pPr>
        <w:ind w:left="1440" w:hanging="360"/>
      </w:pPr>
      <w:rPr>
        <w:rFonts w:hint="default"/>
      </w:rPr>
    </w:lvl>
    <w:lvl w:ilvl="1" w:tplc="9B069FD2" w:tentative="1">
      <w:start w:val="1"/>
      <w:numFmt w:val="lowerLetter"/>
      <w:lvlText w:val="%2."/>
      <w:lvlJc w:val="left"/>
      <w:pPr>
        <w:ind w:left="2160" w:hanging="360"/>
      </w:pPr>
    </w:lvl>
    <w:lvl w:ilvl="2" w:tplc="C584CAA6" w:tentative="1">
      <w:start w:val="1"/>
      <w:numFmt w:val="lowerRoman"/>
      <w:lvlText w:val="%3."/>
      <w:lvlJc w:val="right"/>
      <w:pPr>
        <w:ind w:left="2880" w:hanging="180"/>
      </w:pPr>
    </w:lvl>
    <w:lvl w:ilvl="3" w:tplc="D8A60F54" w:tentative="1">
      <w:start w:val="1"/>
      <w:numFmt w:val="decimal"/>
      <w:lvlText w:val="%4."/>
      <w:lvlJc w:val="left"/>
      <w:pPr>
        <w:ind w:left="3600" w:hanging="360"/>
      </w:pPr>
    </w:lvl>
    <w:lvl w:ilvl="4" w:tplc="6054C98E" w:tentative="1">
      <w:start w:val="1"/>
      <w:numFmt w:val="lowerLetter"/>
      <w:lvlText w:val="%5."/>
      <w:lvlJc w:val="left"/>
      <w:pPr>
        <w:ind w:left="4320" w:hanging="360"/>
      </w:pPr>
    </w:lvl>
    <w:lvl w:ilvl="5" w:tplc="E03CE432" w:tentative="1">
      <w:start w:val="1"/>
      <w:numFmt w:val="lowerRoman"/>
      <w:lvlText w:val="%6."/>
      <w:lvlJc w:val="right"/>
      <w:pPr>
        <w:ind w:left="5040" w:hanging="180"/>
      </w:pPr>
    </w:lvl>
    <w:lvl w:ilvl="6" w:tplc="FA74E7FE" w:tentative="1">
      <w:start w:val="1"/>
      <w:numFmt w:val="decimal"/>
      <w:lvlText w:val="%7."/>
      <w:lvlJc w:val="left"/>
      <w:pPr>
        <w:ind w:left="5760" w:hanging="360"/>
      </w:pPr>
    </w:lvl>
    <w:lvl w:ilvl="7" w:tplc="88941AF2" w:tentative="1">
      <w:start w:val="1"/>
      <w:numFmt w:val="lowerLetter"/>
      <w:lvlText w:val="%8."/>
      <w:lvlJc w:val="left"/>
      <w:pPr>
        <w:ind w:left="6480" w:hanging="360"/>
      </w:pPr>
    </w:lvl>
    <w:lvl w:ilvl="8" w:tplc="276E16BA" w:tentative="1">
      <w:start w:val="1"/>
      <w:numFmt w:val="lowerRoman"/>
      <w:lvlText w:val="%9."/>
      <w:lvlJc w:val="right"/>
      <w:pPr>
        <w:ind w:left="7200" w:hanging="180"/>
      </w:pPr>
    </w:lvl>
  </w:abstractNum>
  <w:abstractNum w:abstractNumId="1" w15:restartNumberingAfterBreak="0">
    <w:nsid w:val="10DD1179"/>
    <w:multiLevelType w:val="hybridMultilevel"/>
    <w:tmpl w:val="83F23A38"/>
    <w:lvl w:ilvl="0" w:tplc="719E3EF6">
      <w:start w:val="1"/>
      <w:numFmt w:val="decimal"/>
      <w:lvlText w:val="%1."/>
      <w:lvlJc w:val="left"/>
      <w:pPr>
        <w:ind w:left="1080" w:hanging="360"/>
      </w:pPr>
      <w:rPr>
        <w:rFonts w:cstheme="majorBidi" w:hint="default"/>
      </w:rPr>
    </w:lvl>
    <w:lvl w:ilvl="1" w:tplc="B67652BA" w:tentative="1">
      <w:start w:val="1"/>
      <w:numFmt w:val="lowerLetter"/>
      <w:lvlText w:val="%2."/>
      <w:lvlJc w:val="left"/>
      <w:pPr>
        <w:ind w:left="1800" w:hanging="360"/>
      </w:pPr>
    </w:lvl>
    <w:lvl w:ilvl="2" w:tplc="07F25350" w:tentative="1">
      <w:start w:val="1"/>
      <w:numFmt w:val="lowerRoman"/>
      <w:lvlText w:val="%3."/>
      <w:lvlJc w:val="right"/>
      <w:pPr>
        <w:ind w:left="2520" w:hanging="180"/>
      </w:pPr>
    </w:lvl>
    <w:lvl w:ilvl="3" w:tplc="A4A0FEBC" w:tentative="1">
      <w:start w:val="1"/>
      <w:numFmt w:val="decimal"/>
      <w:lvlText w:val="%4."/>
      <w:lvlJc w:val="left"/>
      <w:pPr>
        <w:ind w:left="3240" w:hanging="360"/>
      </w:pPr>
    </w:lvl>
    <w:lvl w:ilvl="4" w:tplc="0540A1D0" w:tentative="1">
      <w:start w:val="1"/>
      <w:numFmt w:val="lowerLetter"/>
      <w:lvlText w:val="%5."/>
      <w:lvlJc w:val="left"/>
      <w:pPr>
        <w:ind w:left="3960" w:hanging="360"/>
      </w:pPr>
    </w:lvl>
    <w:lvl w:ilvl="5" w:tplc="3B32697C" w:tentative="1">
      <w:start w:val="1"/>
      <w:numFmt w:val="lowerRoman"/>
      <w:lvlText w:val="%6."/>
      <w:lvlJc w:val="right"/>
      <w:pPr>
        <w:ind w:left="4680" w:hanging="180"/>
      </w:pPr>
    </w:lvl>
    <w:lvl w:ilvl="6" w:tplc="416E9522" w:tentative="1">
      <w:start w:val="1"/>
      <w:numFmt w:val="decimal"/>
      <w:lvlText w:val="%7."/>
      <w:lvlJc w:val="left"/>
      <w:pPr>
        <w:ind w:left="5400" w:hanging="360"/>
      </w:pPr>
    </w:lvl>
    <w:lvl w:ilvl="7" w:tplc="D1BEEE92" w:tentative="1">
      <w:start w:val="1"/>
      <w:numFmt w:val="lowerLetter"/>
      <w:lvlText w:val="%8."/>
      <w:lvlJc w:val="left"/>
      <w:pPr>
        <w:ind w:left="6120" w:hanging="360"/>
      </w:pPr>
    </w:lvl>
    <w:lvl w:ilvl="8" w:tplc="EDE070F0" w:tentative="1">
      <w:start w:val="1"/>
      <w:numFmt w:val="lowerRoman"/>
      <w:lvlText w:val="%9."/>
      <w:lvlJc w:val="right"/>
      <w:pPr>
        <w:ind w:left="6840" w:hanging="180"/>
      </w:pPr>
    </w:lvl>
  </w:abstractNum>
  <w:abstractNum w:abstractNumId="2" w15:restartNumberingAfterBreak="0">
    <w:nsid w:val="14C90A5A"/>
    <w:multiLevelType w:val="hybridMultilevel"/>
    <w:tmpl w:val="68F28A82"/>
    <w:lvl w:ilvl="0" w:tplc="5AA03E9A">
      <w:start w:val="1"/>
      <w:numFmt w:val="lowerLetter"/>
      <w:lvlText w:val="%1)"/>
      <w:lvlJc w:val="left"/>
      <w:pPr>
        <w:ind w:left="1146" w:hanging="360"/>
      </w:pPr>
      <w:rPr>
        <w:rFonts w:hint="default"/>
      </w:rPr>
    </w:lvl>
    <w:lvl w:ilvl="1" w:tplc="097E7BB6" w:tentative="1">
      <w:start w:val="1"/>
      <w:numFmt w:val="lowerLetter"/>
      <w:lvlText w:val="%2."/>
      <w:lvlJc w:val="left"/>
      <w:pPr>
        <w:ind w:left="1866" w:hanging="360"/>
      </w:pPr>
    </w:lvl>
    <w:lvl w:ilvl="2" w:tplc="5574D22A" w:tentative="1">
      <w:start w:val="1"/>
      <w:numFmt w:val="lowerRoman"/>
      <w:lvlText w:val="%3."/>
      <w:lvlJc w:val="right"/>
      <w:pPr>
        <w:ind w:left="2586" w:hanging="180"/>
      </w:pPr>
    </w:lvl>
    <w:lvl w:ilvl="3" w:tplc="3EF471DA" w:tentative="1">
      <w:start w:val="1"/>
      <w:numFmt w:val="decimal"/>
      <w:lvlText w:val="%4."/>
      <w:lvlJc w:val="left"/>
      <w:pPr>
        <w:ind w:left="3306" w:hanging="360"/>
      </w:pPr>
    </w:lvl>
    <w:lvl w:ilvl="4" w:tplc="540CA104" w:tentative="1">
      <w:start w:val="1"/>
      <w:numFmt w:val="lowerLetter"/>
      <w:lvlText w:val="%5."/>
      <w:lvlJc w:val="left"/>
      <w:pPr>
        <w:ind w:left="4026" w:hanging="360"/>
      </w:pPr>
    </w:lvl>
    <w:lvl w:ilvl="5" w:tplc="88325E7A" w:tentative="1">
      <w:start w:val="1"/>
      <w:numFmt w:val="lowerRoman"/>
      <w:lvlText w:val="%6."/>
      <w:lvlJc w:val="right"/>
      <w:pPr>
        <w:ind w:left="4746" w:hanging="180"/>
      </w:pPr>
    </w:lvl>
    <w:lvl w:ilvl="6" w:tplc="DDF6D028" w:tentative="1">
      <w:start w:val="1"/>
      <w:numFmt w:val="decimal"/>
      <w:lvlText w:val="%7."/>
      <w:lvlJc w:val="left"/>
      <w:pPr>
        <w:ind w:left="5466" w:hanging="360"/>
      </w:pPr>
    </w:lvl>
    <w:lvl w:ilvl="7" w:tplc="4580BC9A" w:tentative="1">
      <w:start w:val="1"/>
      <w:numFmt w:val="lowerLetter"/>
      <w:lvlText w:val="%8."/>
      <w:lvlJc w:val="left"/>
      <w:pPr>
        <w:ind w:left="6186" w:hanging="360"/>
      </w:pPr>
    </w:lvl>
    <w:lvl w:ilvl="8" w:tplc="E0AEF338" w:tentative="1">
      <w:start w:val="1"/>
      <w:numFmt w:val="lowerRoman"/>
      <w:lvlText w:val="%9."/>
      <w:lvlJc w:val="right"/>
      <w:pPr>
        <w:ind w:left="6906" w:hanging="180"/>
      </w:pPr>
    </w:lvl>
  </w:abstractNum>
  <w:abstractNum w:abstractNumId="3" w15:restartNumberingAfterBreak="0">
    <w:nsid w:val="1B582C57"/>
    <w:multiLevelType w:val="hybridMultilevel"/>
    <w:tmpl w:val="F81C0B98"/>
    <w:lvl w:ilvl="0" w:tplc="9A10E8FE">
      <w:start w:val="1"/>
      <w:numFmt w:val="lowerLetter"/>
      <w:lvlText w:val="%1."/>
      <w:lvlJc w:val="left"/>
      <w:pPr>
        <w:ind w:left="720" w:hanging="360"/>
      </w:pPr>
      <w:rPr>
        <w:rFonts w:hint="default"/>
      </w:rPr>
    </w:lvl>
    <w:lvl w:ilvl="1" w:tplc="E2080F34" w:tentative="1">
      <w:start w:val="1"/>
      <w:numFmt w:val="lowerLetter"/>
      <w:lvlText w:val="%2."/>
      <w:lvlJc w:val="left"/>
      <w:pPr>
        <w:ind w:left="1440" w:hanging="360"/>
      </w:pPr>
    </w:lvl>
    <w:lvl w:ilvl="2" w:tplc="B734F7E6" w:tentative="1">
      <w:start w:val="1"/>
      <w:numFmt w:val="lowerRoman"/>
      <w:lvlText w:val="%3."/>
      <w:lvlJc w:val="right"/>
      <w:pPr>
        <w:ind w:left="2160" w:hanging="180"/>
      </w:pPr>
    </w:lvl>
    <w:lvl w:ilvl="3" w:tplc="BC1ABA02" w:tentative="1">
      <w:start w:val="1"/>
      <w:numFmt w:val="decimal"/>
      <w:lvlText w:val="%4."/>
      <w:lvlJc w:val="left"/>
      <w:pPr>
        <w:ind w:left="2880" w:hanging="360"/>
      </w:pPr>
    </w:lvl>
    <w:lvl w:ilvl="4" w:tplc="6D3632FA" w:tentative="1">
      <w:start w:val="1"/>
      <w:numFmt w:val="lowerLetter"/>
      <w:lvlText w:val="%5."/>
      <w:lvlJc w:val="left"/>
      <w:pPr>
        <w:ind w:left="3600" w:hanging="360"/>
      </w:pPr>
    </w:lvl>
    <w:lvl w:ilvl="5" w:tplc="03FC1CD6" w:tentative="1">
      <w:start w:val="1"/>
      <w:numFmt w:val="lowerRoman"/>
      <w:lvlText w:val="%6."/>
      <w:lvlJc w:val="right"/>
      <w:pPr>
        <w:ind w:left="4320" w:hanging="180"/>
      </w:pPr>
    </w:lvl>
    <w:lvl w:ilvl="6" w:tplc="94447DB6" w:tentative="1">
      <w:start w:val="1"/>
      <w:numFmt w:val="decimal"/>
      <w:lvlText w:val="%7."/>
      <w:lvlJc w:val="left"/>
      <w:pPr>
        <w:ind w:left="5040" w:hanging="360"/>
      </w:pPr>
    </w:lvl>
    <w:lvl w:ilvl="7" w:tplc="4B686528" w:tentative="1">
      <w:start w:val="1"/>
      <w:numFmt w:val="lowerLetter"/>
      <w:lvlText w:val="%8."/>
      <w:lvlJc w:val="left"/>
      <w:pPr>
        <w:ind w:left="5760" w:hanging="360"/>
      </w:pPr>
    </w:lvl>
    <w:lvl w:ilvl="8" w:tplc="24088CFC" w:tentative="1">
      <w:start w:val="1"/>
      <w:numFmt w:val="lowerRoman"/>
      <w:lvlText w:val="%9."/>
      <w:lvlJc w:val="right"/>
      <w:pPr>
        <w:ind w:left="6480" w:hanging="180"/>
      </w:pPr>
    </w:lvl>
  </w:abstractNum>
  <w:abstractNum w:abstractNumId="4" w15:restartNumberingAfterBreak="0">
    <w:nsid w:val="338B205E"/>
    <w:multiLevelType w:val="hybridMultilevel"/>
    <w:tmpl w:val="37422766"/>
    <w:lvl w:ilvl="0" w:tplc="71C06E8A">
      <w:start w:val="1"/>
      <w:numFmt w:val="decimal"/>
      <w:lvlText w:val="%1."/>
      <w:lvlJc w:val="left"/>
      <w:pPr>
        <w:ind w:left="1800" w:hanging="360"/>
      </w:pPr>
      <w:rPr>
        <w:rFonts w:asciiTheme="majorBidi" w:eastAsiaTheme="minorHAnsi" w:hAnsiTheme="majorBidi" w:cstheme="majorBidi"/>
      </w:rPr>
    </w:lvl>
    <w:lvl w:ilvl="1" w:tplc="35C09316">
      <w:start w:val="1"/>
      <w:numFmt w:val="lowerLetter"/>
      <w:lvlText w:val="%2."/>
      <w:lvlJc w:val="left"/>
      <w:pPr>
        <w:ind w:left="2520" w:hanging="360"/>
      </w:pPr>
    </w:lvl>
    <w:lvl w:ilvl="2" w:tplc="182E1744" w:tentative="1">
      <w:start w:val="1"/>
      <w:numFmt w:val="lowerRoman"/>
      <w:lvlText w:val="%3."/>
      <w:lvlJc w:val="right"/>
      <w:pPr>
        <w:ind w:left="3240" w:hanging="180"/>
      </w:pPr>
    </w:lvl>
    <w:lvl w:ilvl="3" w:tplc="E818734C" w:tentative="1">
      <w:start w:val="1"/>
      <w:numFmt w:val="decimal"/>
      <w:lvlText w:val="%4."/>
      <w:lvlJc w:val="left"/>
      <w:pPr>
        <w:ind w:left="3960" w:hanging="360"/>
      </w:pPr>
    </w:lvl>
    <w:lvl w:ilvl="4" w:tplc="BB30BDCA" w:tentative="1">
      <w:start w:val="1"/>
      <w:numFmt w:val="lowerLetter"/>
      <w:lvlText w:val="%5."/>
      <w:lvlJc w:val="left"/>
      <w:pPr>
        <w:ind w:left="4680" w:hanging="360"/>
      </w:pPr>
    </w:lvl>
    <w:lvl w:ilvl="5" w:tplc="74241A9C" w:tentative="1">
      <w:start w:val="1"/>
      <w:numFmt w:val="lowerRoman"/>
      <w:lvlText w:val="%6."/>
      <w:lvlJc w:val="right"/>
      <w:pPr>
        <w:ind w:left="5400" w:hanging="180"/>
      </w:pPr>
    </w:lvl>
    <w:lvl w:ilvl="6" w:tplc="3392ADA0" w:tentative="1">
      <w:start w:val="1"/>
      <w:numFmt w:val="decimal"/>
      <w:lvlText w:val="%7."/>
      <w:lvlJc w:val="left"/>
      <w:pPr>
        <w:ind w:left="6120" w:hanging="360"/>
      </w:pPr>
    </w:lvl>
    <w:lvl w:ilvl="7" w:tplc="6A0CDBB0" w:tentative="1">
      <w:start w:val="1"/>
      <w:numFmt w:val="lowerLetter"/>
      <w:lvlText w:val="%8."/>
      <w:lvlJc w:val="left"/>
      <w:pPr>
        <w:ind w:left="6840" w:hanging="360"/>
      </w:pPr>
    </w:lvl>
    <w:lvl w:ilvl="8" w:tplc="7C8A5290" w:tentative="1">
      <w:start w:val="1"/>
      <w:numFmt w:val="lowerRoman"/>
      <w:lvlText w:val="%9."/>
      <w:lvlJc w:val="right"/>
      <w:pPr>
        <w:ind w:left="7560" w:hanging="180"/>
      </w:pPr>
    </w:lvl>
  </w:abstractNum>
  <w:abstractNum w:abstractNumId="5" w15:restartNumberingAfterBreak="0">
    <w:nsid w:val="39CE4BF5"/>
    <w:multiLevelType w:val="hybridMultilevel"/>
    <w:tmpl w:val="5386BA6C"/>
    <w:lvl w:ilvl="0" w:tplc="1BAA9BB0">
      <w:start w:val="1"/>
      <w:numFmt w:val="decimal"/>
      <w:lvlText w:val="%1."/>
      <w:lvlJc w:val="left"/>
      <w:pPr>
        <w:ind w:left="720" w:hanging="360"/>
      </w:pPr>
      <w:rPr>
        <w:rFonts w:hint="default"/>
      </w:rPr>
    </w:lvl>
    <w:lvl w:ilvl="1" w:tplc="1F963D76" w:tentative="1">
      <w:start w:val="1"/>
      <w:numFmt w:val="lowerLetter"/>
      <w:lvlText w:val="%2."/>
      <w:lvlJc w:val="left"/>
      <w:pPr>
        <w:ind w:left="1440" w:hanging="360"/>
      </w:pPr>
    </w:lvl>
    <w:lvl w:ilvl="2" w:tplc="61C2C444" w:tentative="1">
      <w:start w:val="1"/>
      <w:numFmt w:val="lowerRoman"/>
      <w:lvlText w:val="%3."/>
      <w:lvlJc w:val="right"/>
      <w:pPr>
        <w:ind w:left="2160" w:hanging="180"/>
      </w:pPr>
    </w:lvl>
    <w:lvl w:ilvl="3" w:tplc="066CDAB6" w:tentative="1">
      <w:start w:val="1"/>
      <w:numFmt w:val="decimal"/>
      <w:lvlText w:val="%4."/>
      <w:lvlJc w:val="left"/>
      <w:pPr>
        <w:ind w:left="2880" w:hanging="360"/>
      </w:pPr>
    </w:lvl>
    <w:lvl w:ilvl="4" w:tplc="2E76E0C2" w:tentative="1">
      <w:start w:val="1"/>
      <w:numFmt w:val="lowerLetter"/>
      <w:lvlText w:val="%5."/>
      <w:lvlJc w:val="left"/>
      <w:pPr>
        <w:ind w:left="3600" w:hanging="360"/>
      </w:pPr>
    </w:lvl>
    <w:lvl w:ilvl="5" w:tplc="EF201E58" w:tentative="1">
      <w:start w:val="1"/>
      <w:numFmt w:val="lowerRoman"/>
      <w:lvlText w:val="%6."/>
      <w:lvlJc w:val="right"/>
      <w:pPr>
        <w:ind w:left="4320" w:hanging="180"/>
      </w:pPr>
    </w:lvl>
    <w:lvl w:ilvl="6" w:tplc="A0008998" w:tentative="1">
      <w:start w:val="1"/>
      <w:numFmt w:val="decimal"/>
      <w:lvlText w:val="%7."/>
      <w:lvlJc w:val="left"/>
      <w:pPr>
        <w:ind w:left="5040" w:hanging="360"/>
      </w:pPr>
    </w:lvl>
    <w:lvl w:ilvl="7" w:tplc="EF542148" w:tentative="1">
      <w:start w:val="1"/>
      <w:numFmt w:val="lowerLetter"/>
      <w:lvlText w:val="%8."/>
      <w:lvlJc w:val="left"/>
      <w:pPr>
        <w:ind w:left="5760" w:hanging="360"/>
      </w:pPr>
    </w:lvl>
    <w:lvl w:ilvl="8" w:tplc="229E54C2" w:tentative="1">
      <w:start w:val="1"/>
      <w:numFmt w:val="lowerRoman"/>
      <w:lvlText w:val="%9."/>
      <w:lvlJc w:val="right"/>
      <w:pPr>
        <w:ind w:left="6480" w:hanging="180"/>
      </w:pPr>
    </w:lvl>
  </w:abstractNum>
  <w:abstractNum w:abstractNumId="6" w15:restartNumberingAfterBreak="0">
    <w:nsid w:val="43042A8F"/>
    <w:multiLevelType w:val="hybridMultilevel"/>
    <w:tmpl w:val="7C0E9E12"/>
    <w:lvl w:ilvl="0" w:tplc="24DA4254">
      <w:start w:val="1"/>
      <w:numFmt w:val="decimal"/>
      <w:lvlText w:val="%1."/>
      <w:lvlJc w:val="left"/>
      <w:pPr>
        <w:ind w:left="1080" w:hanging="360"/>
      </w:pPr>
      <w:rPr>
        <w:rFonts w:hint="default"/>
      </w:rPr>
    </w:lvl>
    <w:lvl w:ilvl="1" w:tplc="1A906580" w:tentative="1">
      <w:start w:val="1"/>
      <w:numFmt w:val="lowerLetter"/>
      <w:lvlText w:val="%2."/>
      <w:lvlJc w:val="left"/>
      <w:pPr>
        <w:ind w:left="1800" w:hanging="360"/>
      </w:pPr>
    </w:lvl>
    <w:lvl w:ilvl="2" w:tplc="6B7007CC" w:tentative="1">
      <w:start w:val="1"/>
      <w:numFmt w:val="lowerRoman"/>
      <w:lvlText w:val="%3."/>
      <w:lvlJc w:val="right"/>
      <w:pPr>
        <w:ind w:left="2520" w:hanging="180"/>
      </w:pPr>
    </w:lvl>
    <w:lvl w:ilvl="3" w:tplc="5F469976" w:tentative="1">
      <w:start w:val="1"/>
      <w:numFmt w:val="decimal"/>
      <w:lvlText w:val="%4."/>
      <w:lvlJc w:val="left"/>
      <w:pPr>
        <w:ind w:left="3240" w:hanging="360"/>
      </w:pPr>
    </w:lvl>
    <w:lvl w:ilvl="4" w:tplc="D610D786" w:tentative="1">
      <w:start w:val="1"/>
      <w:numFmt w:val="lowerLetter"/>
      <w:lvlText w:val="%5."/>
      <w:lvlJc w:val="left"/>
      <w:pPr>
        <w:ind w:left="3960" w:hanging="360"/>
      </w:pPr>
    </w:lvl>
    <w:lvl w:ilvl="5" w:tplc="C602BF28" w:tentative="1">
      <w:start w:val="1"/>
      <w:numFmt w:val="lowerRoman"/>
      <w:lvlText w:val="%6."/>
      <w:lvlJc w:val="right"/>
      <w:pPr>
        <w:ind w:left="4680" w:hanging="180"/>
      </w:pPr>
    </w:lvl>
    <w:lvl w:ilvl="6" w:tplc="D2742BEE" w:tentative="1">
      <w:start w:val="1"/>
      <w:numFmt w:val="decimal"/>
      <w:lvlText w:val="%7."/>
      <w:lvlJc w:val="left"/>
      <w:pPr>
        <w:ind w:left="5400" w:hanging="360"/>
      </w:pPr>
    </w:lvl>
    <w:lvl w:ilvl="7" w:tplc="D0FCF85E" w:tentative="1">
      <w:start w:val="1"/>
      <w:numFmt w:val="lowerLetter"/>
      <w:lvlText w:val="%8."/>
      <w:lvlJc w:val="left"/>
      <w:pPr>
        <w:ind w:left="6120" w:hanging="360"/>
      </w:pPr>
    </w:lvl>
    <w:lvl w:ilvl="8" w:tplc="E4AACA50" w:tentative="1">
      <w:start w:val="1"/>
      <w:numFmt w:val="lowerRoman"/>
      <w:lvlText w:val="%9."/>
      <w:lvlJc w:val="right"/>
      <w:pPr>
        <w:ind w:left="6840" w:hanging="180"/>
      </w:pPr>
    </w:lvl>
  </w:abstractNum>
  <w:abstractNum w:abstractNumId="7" w15:restartNumberingAfterBreak="0">
    <w:nsid w:val="4EE27A2C"/>
    <w:multiLevelType w:val="hybridMultilevel"/>
    <w:tmpl w:val="A81A6CEE"/>
    <w:lvl w:ilvl="0" w:tplc="513604DE">
      <w:start w:val="1"/>
      <w:numFmt w:val="decimal"/>
      <w:lvlText w:val="%1."/>
      <w:lvlJc w:val="left"/>
      <w:pPr>
        <w:ind w:left="1506" w:hanging="360"/>
      </w:pPr>
      <w:rPr>
        <w:rFonts w:hint="default"/>
      </w:rPr>
    </w:lvl>
    <w:lvl w:ilvl="1" w:tplc="3A38D24E" w:tentative="1">
      <w:start w:val="1"/>
      <w:numFmt w:val="lowerLetter"/>
      <w:lvlText w:val="%2."/>
      <w:lvlJc w:val="left"/>
      <w:pPr>
        <w:ind w:left="2226" w:hanging="360"/>
      </w:pPr>
    </w:lvl>
    <w:lvl w:ilvl="2" w:tplc="91F86076" w:tentative="1">
      <w:start w:val="1"/>
      <w:numFmt w:val="lowerRoman"/>
      <w:lvlText w:val="%3."/>
      <w:lvlJc w:val="right"/>
      <w:pPr>
        <w:ind w:left="2946" w:hanging="180"/>
      </w:pPr>
    </w:lvl>
    <w:lvl w:ilvl="3" w:tplc="E4BCC57A" w:tentative="1">
      <w:start w:val="1"/>
      <w:numFmt w:val="decimal"/>
      <w:lvlText w:val="%4."/>
      <w:lvlJc w:val="left"/>
      <w:pPr>
        <w:ind w:left="3666" w:hanging="360"/>
      </w:pPr>
    </w:lvl>
    <w:lvl w:ilvl="4" w:tplc="6F1AB7FA" w:tentative="1">
      <w:start w:val="1"/>
      <w:numFmt w:val="lowerLetter"/>
      <w:lvlText w:val="%5."/>
      <w:lvlJc w:val="left"/>
      <w:pPr>
        <w:ind w:left="4386" w:hanging="360"/>
      </w:pPr>
    </w:lvl>
    <w:lvl w:ilvl="5" w:tplc="83B2C9CE" w:tentative="1">
      <w:start w:val="1"/>
      <w:numFmt w:val="lowerRoman"/>
      <w:lvlText w:val="%6."/>
      <w:lvlJc w:val="right"/>
      <w:pPr>
        <w:ind w:left="5106" w:hanging="180"/>
      </w:pPr>
    </w:lvl>
    <w:lvl w:ilvl="6" w:tplc="56F21B3C" w:tentative="1">
      <w:start w:val="1"/>
      <w:numFmt w:val="decimal"/>
      <w:lvlText w:val="%7."/>
      <w:lvlJc w:val="left"/>
      <w:pPr>
        <w:ind w:left="5826" w:hanging="360"/>
      </w:pPr>
    </w:lvl>
    <w:lvl w:ilvl="7" w:tplc="56021F02" w:tentative="1">
      <w:start w:val="1"/>
      <w:numFmt w:val="lowerLetter"/>
      <w:lvlText w:val="%8."/>
      <w:lvlJc w:val="left"/>
      <w:pPr>
        <w:ind w:left="6546" w:hanging="360"/>
      </w:pPr>
    </w:lvl>
    <w:lvl w:ilvl="8" w:tplc="1AAECB12" w:tentative="1">
      <w:start w:val="1"/>
      <w:numFmt w:val="lowerRoman"/>
      <w:lvlText w:val="%9."/>
      <w:lvlJc w:val="right"/>
      <w:pPr>
        <w:ind w:left="7266" w:hanging="180"/>
      </w:pPr>
    </w:lvl>
  </w:abstractNum>
  <w:abstractNum w:abstractNumId="8" w15:restartNumberingAfterBreak="0">
    <w:nsid w:val="4F0F4570"/>
    <w:multiLevelType w:val="hybridMultilevel"/>
    <w:tmpl w:val="5428036E"/>
    <w:lvl w:ilvl="0" w:tplc="2F52B8C8">
      <w:start w:val="1"/>
      <w:numFmt w:val="decimal"/>
      <w:lvlText w:val="%1."/>
      <w:lvlJc w:val="left"/>
      <w:pPr>
        <w:ind w:left="1506" w:hanging="360"/>
      </w:pPr>
      <w:rPr>
        <w:rFonts w:asciiTheme="majorBidi" w:eastAsiaTheme="minorHAnsi" w:hAnsiTheme="majorBidi" w:cstheme="majorBidi"/>
      </w:rPr>
    </w:lvl>
    <w:lvl w:ilvl="1" w:tplc="7982D2C2" w:tentative="1">
      <w:start w:val="1"/>
      <w:numFmt w:val="lowerLetter"/>
      <w:lvlText w:val="%2."/>
      <w:lvlJc w:val="left"/>
      <w:pPr>
        <w:ind w:left="2226" w:hanging="360"/>
      </w:pPr>
    </w:lvl>
    <w:lvl w:ilvl="2" w:tplc="DB0041A2" w:tentative="1">
      <w:start w:val="1"/>
      <w:numFmt w:val="lowerRoman"/>
      <w:lvlText w:val="%3."/>
      <w:lvlJc w:val="right"/>
      <w:pPr>
        <w:ind w:left="2946" w:hanging="180"/>
      </w:pPr>
    </w:lvl>
    <w:lvl w:ilvl="3" w:tplc="33A48DAE" w:tentative="1">
      <w:start w:val="1"/>
      <w:numFmt w:val="decimal"/>
      <w:lvlText w:val="%4."/>
      <w:lvlJc w:val="left"/>
      <w:pPr>
        <w:ind w:left="3666" w:hanging="360"/>
      </w:pPr>
    </w:lvl>
    <w:lvl w:ilvl="4" w:tplc="DBE80808" w:tentative="1">
      <w:start w:val="1"/>
      <w:numFmt w:val="lowerLetter"/>
      <w:lvlText w:val="%5."/>
      <w:lvlJc w:val="left"/>
      <w:pPr>
        <w:ind w:left="4386" w:hanging="360"/>
      </w:pPr>
    </w:lvl>
    <w:lvl w:ilvl="5" w:tplc="8E562246" w:tentative="1">
      <w:start w:val="1"/>
      <w:numFmt w:val="lowerRoman"/>
      <w:lvlText w:val="%6."/>
      <w:lvlJc w:val="right"/>
      <w:pPr>
        <w:ind w:left="5106" w:hanging="180"/>
      </w:pPr>
    </w:lvl>
    <w:lvl w:ilvl="6" w:tplc="3124A70E" w:tentative="1">
      <w:start w:val="1"/>
      <w:numFmt w:val="decimal"/>
      <w:lvlText w:val="%7."/>
      <w:lvlJc w:val="left"/>
      <w:pPr>
        <w:ind w:left="5826" w:hanging="360"/>
      </w:pPr>
    </w:lvl>
    <w:lvl w:ilvl="7" w:tplc="62A61640" w:tentative="1">
      <w:start w:val="1"/>
      <w:numFmt w:val="lowerLetter"/>
      <w:lvlText w:val="%8."/>
      <w:lvlJc w:val="left"/>
      <w:pPr>
        <w:ind w:left="6546" w:hanging="360"/>
      </w:pPr>
    </w:lvl>
    <w:lvl w:ilvl="8" w:tplc="1B04BB00" w:tentative="1">
      <w:start w:val="1"/>
      <w:numFmt w:val="lowerRoman"/>
      <w:lvlText w:val="%9."/>
      <w:lvlJc w:val="right"/>
      <w:pPr>
        <w:ind w:left="7266" w:hanging="180"/>
      </w:pPr>
    </w:lvl>
  </w:abstractNum>
  <w:abstractNum w:abstractNumId="9" w15:restartNumberingAfterBreak="0">
    <w:nsid w:val="620940A5"/>
    <w:multiLevelType w:val="multilevel"/>
    <w:tmpl w:val="93663266"/>
    <w:lvl w:ilvl="0">
      <w:start w:val="1"/>
      <w:numFmt w:val="decimal"/>
      <w:lvlText w:val="%1."/>
      <w:lvlJc w:val="left"/>
      <w:pPr>
        <w:ind w:left="720" w:hanging="360"/>
      </w:pPr>
    </w:lvl>
    <w:lvl w:ilvl="1">
      <w:start w:val="4"/>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66D72240"/>
    <w:multiLevelType w:val="hybridMultilevel"/>
    <w:tmpl w:val="BF0E02B6"/>
    <w:lvl w:ilvl="0" w:tplc="A37067B8">
      <w:start w:val="1"/>
      <w:numFmt w:val="decimal"/>
      <w:lvlText w:val="%1."/>
      <w:lvlJc w:val="left"/>
      <w:pPr>
        <w:ind w:left="720" w:hanging="360"/>
      </w:pPr>
      <w:rPr>
        <w:rFonts w:hint="default"/>
      </w:rPr>
    </w:lvl>
    <w:lvl w:ilvl="1" w:tplc="8BFCE5AC" w:tentative="1">
      <w:start w:val="1"/>
      <w:numFmt w:val="lowerLetter"/>
      <w:lvlText w:val="%2."/>
      <w:lvlJc w:val="left"/>
      <w:pPr>
        <w:ind w:left="1440" w:hanging="360"/>
      </w:pPr>
    </w:lvl>
    <w:lvl w:ilvl="2" w:tplc="ADA049E4" w:tentative="1">
      <w:start w:val="1"/>
      <w:numFmt w:val="lowerRoman"/>
      <w:lvlText w:val="%3."/>
      <w:lvlJc w:val="right"/>
      <w:pPr>
        <w:ind w:left="2160" w:hanging="180"/>
      </w:pPr>
    </w:lvl>
    <w:lvl w:ilvl="3" w:tplc="FE92A97E" w:tentative="1">
      <w:start w:val="1"/>
      <w:numFmt w:val="decimal"/>
      <w:lvlText w:val="%4."/>
      <w:lvlJc w:val="left"/>
      <w:pPr>
        <w:ind w:left="2880" w:hanging="360"/>
      </w:pPr>
    </w:lvl>
    <w:lvl w:ilvl="4" w:tplc="B4F47392" w:tentative="1">
      <w:start w:val="1"/>
      <w:numFmt w:val="lowerLetter"/>
      <w:lvlText w:val="%5."/>
      <w:lvlJc w:val="left"/>
      <w:pPr>
        <w:ind w:left="3600" w:hanging="360"/>
      </w:pPr>
    </w:lvl>
    <w:lvl w:ilvl="5" w:tplc="2D2A25AE" w:tentative="1">
      <w:start w:val="1"/>
      <w:numFmt w:val="lowerRoman"/>
      <w:lvlText w:val="%6."/>
      <w:lvlJc w:val="right"/>
      <w:pPr>
        <w:ind w:left="4320" w:hanging="180"/>
      </w:pPr>
    </w:lvl>
    <w:lvl w:ilvl="6" w:tplc="DED05BBC" w:tentative="1">
      <w:start w:val="1"/>
      <w:numFmt w:val="decimal"/>
      <w:lvlText w:val="%7."/>
      <w:lvlJc w:val="left"/>
      <w:pPr>
        <w:ind w:left="5040" w:hanging="360"/>
      </w:pPr>
    </w:lvl>
    <w:lvl w:ilvl="7" w:tplc="A112D728" w:tentative="1">
      <w:start w:val="1"/>
      <w:numFmt w:val="lowerLetter"/>
      <w:lvlText w:val="%8."/>
      <w:lvlJc w:val="left"/>
      <w:pPr>
        <w:ind w:left="5760" w:hanging="360"/>
      </w:pPr>
    </w:lvl>
    <w:lvl w:ilvl="8" w:tplc="C572460C" w:tentative="1">
      <w:start w:val="1"/>
      <w:numFmt w:val="lowerRoman"/>
      <w:lvlText w:val="%9."/>
      <w:lvlJc w:val="right"/>
      <w:pPr>
        <w:ind w:left="6480" w:hanging="180"/>
      </w:pPr>
    </w:lvl>
  </w:abstractNum>
  <w:num w:numId="1" w16cid:durableId="1106459360">
    <w:abstractNumId w:val="9"/>
  </w:num>
  <w:num w:numId="2" w16cid:durableId="1562323600">
    <w:abstractNumId w:val="1"/>
  </w:num>
  <w:num w:numId="3" w16cid:durableId="1361515075">
    <w:abstractNumId w:val="6"/>
  </w:num>
  <w:num w:numId="4" w16cid:durableId="1778599833">
    <w:abstractNumId w:val="3"/>
  </w:num>
  <w:num w:numId="5" w16cid:durableId="12463866">
    <w:abstractNumId w:val="0"/>
  </w:num>
  <w:num w:numId="6" w16cid:durableId="757480181">
    <w:abstractNumId w:val="2"/>
  </w:num>
  <w:num w:numId="7" w16cid:durableId="976224911">
    <w:abstractNumId w:val="8"/>
  </w:num>
  <w:num w:numId="8" w16cid:durableId="1870684145">
    <w:abstractNumId w:val="7"/>
  </w:num>
  <w:num w:numId="9" w16cid:durableId="1860393167">
    <w:abstractNumId w:val="5"/>
  </w:num>
  <w:num w:numId="10" w16cid:durableId="1179539228">
    <w:abstractNumId w:val="10"/>
  </w:num>
  <w:num w:numId="11" w16cid:durableId="99634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ED"/>
    <w:rsid w:val="00003F4D"/>
    <w:rsid w:val="00004A0C"/>
    <w:rsid w:val="00057000"/>
    <w:rsid w:val="000673E7"/>
    <w:rsid w:val="00090236"/>
    <w:rsid w:val="00094C60"/>
    <w:rsid w:val="000B3EAA"/>
    <w:rsid w:val="000E7F4E"/>
    <w:rsid w:val="000F463D"/>
    <w:rsid w:val="00104543"/>
    <w:rsid w:val="00107254"/>
    <w:rsid w:val="00144130"/>
    <w:rsid w:val="00160757"/>
    <w:rsid w:val="00163AED"/>
    <w:rsid w:val="00167FE5"/>
    <w:rsid w:val="0017323B"/>
    <w:rsid w:val="0018529D"/>
    <w:rsid w:val="00187D6E"/>
    <w:rsid w:val="00197E27"/>
    <w:rsid w:val="001A59EC"/>
    <w:rsid w:val="001A75B5"/>
    <w:rsid w:val="001B5716"/>
    <w:rsid w:val="001C3C1A"/>
    <w:rsid w:val="001E0879"/>
    <w:rsid w:val="001F04ED"/>
    <w:rsid w:val="00207218"/>
    <w:rsid w:val="00240C55"/>
    <w:rsid w:val="002459FE"/>
    <w:rsid w:val="002471F2"/>
    <w:rsid w:val="002604A1"/>
    <w:rsid w:val="00270C0A"/>
    <w:rsid w:val="002854F9"/>
    <w:rsid w:val="002A00FB"/>
    <w:rsid w:val="002A744C"/>
    <w:rsid w:val="002B55FB"/>
    <w:rsid w:val="002B56D3"/>
    <w:rsid w:val="002C3ADB"/>
    <w:rsid w:val="002C3E4F"/>
    <w:rsid w:val="002C6633"/>
    <w:rsid w:val="002C6BE3"/>
    <w:rsid w:val="002E1C7D"/>
    <w:rsid w:val="002E3503"/>
    <w:rsid w:val="002E435E"/>
    <w:rsid w:val="002F0180"/>
    <w:rsid w:val="002F362A"/>
    <w:rsid w:val="0030439D"/>
    <w:rsid w:val="00337713"/>
    <w:rsid w:val="00344759"/>
    <w:rsid w:val="003466EA"/>
    <w:rsid w:val="0037272B"/>
    <w:rsid w:val="00384142"/>
    <w:rsid w:val="003855FC"/>
    <w:rsid w:val="003976D4"/>
    <w:rsid w:val="003B470A"/>
    <w:rsid w:val="003C4525"/>
    <w:rsid w:val="003C4E8F"/>
    <w:rsid w:val="003C576E"/>
    <w:rsid w:val="003D46D6"/>
    <w:rsid w:val="003F5778"/>
    <w:rsid w:val="00446945"/>
    <w:rsid w:val="004542A9"/>
    <w:rsid w:val="00461C92"/>
    <w:rsid w:val="00470967"/>
    <w:rsid w:val="004A739C"/>
    <w:rsid w:val="004B3A16"/>
    <w:rsid w:val="004E0311"/>
    <w:rsid w:val="004F04AA"/>
    <w:rsid w:val="00500535"/>
    <w:rsid w:val="0053129E"/>
    <w:rsid w:val="005377F9"/>
    <w:rsid w:val="0056698B"/>
    <w:rsid w:val="00567705"/>
    <w:rsid w:val="0057515B"/>
    <w:rsid w:val="00575202"/>
    <w:rsid w:val="0058686A"/>
    <w:rsid w:val="005971E8"/>
    <w:rsid w:val="005B269E"/>
    <w:rsid w:val="005B3DAB"/>
    <w:rsid w:val="005C5DD6"/>
    <w:rsid w:val="005D52D5"/>
    <w:rsid w:val="005E37B6"/>
    <w:rsid w:val="005E40C2"/>
    <w:rsid w:val="006247F1"/>
    <w:rsid w:val="006463DF"/>
    <w:rsid w:val="00647163"/>
    <w:rsid w:val="00656C89"/>
    <w:rsid w:val="00663F6E"/>
    <w:rsid w:val="00664FE0"/>
    <w:rsid w:val="00671F87"/>
    <w:rsid w:val="006801FE"/>
    <w:rsid w:val="00685750"/>
    <w:rsid w:val="006952A4"/>
    <w:rsid w:val="006A242E"/>
    <w:rsid w:val="006C462A"/>
    <w:rsid w:val="006C6C36"/>
    <w:rsid w:val="006C7945"/>
    <w:rsid w:val="006D0718"/>
    <w:rsid w:val="006E6581"/>
    <w:rsid w:val="006F78AF"/>
    <w:rsid w:val="007011CC"/>
    <w:rsid w:val="007069D4"/>
    <w:rsid w:val="00707925"/>
    <w:rsid w:val="0072382C"/>
    <w:rsid w:val="0073756E"/>
    <w:rsid w:val="00743FCE"/>
    <w:rsid w:val="00793C9B"/>
    <w:rsid w:val="007F06A3"/>
    <w:rsid w:val="0083226F"/>
    <w:rsid w:val="00847DCD"/>
    <w:rsid w:val="00861B29"/>
    <w:rsid w:val="00865F02"/>
    <w:rsid w:val="00873702"/>
    <w:rsid w:val="008745B4"/>
    <w:rsid w:val="00882EF9"/>
    <w:rsid w:val="00892A59"/>
    <w:rsid w:val="00895E1C"/>
    <w:rsid w:val="00897454"/>
    <w:rsid w:val="008B71A9"/>
    <w:rsid w:val="008C7AA7"/>
    <w:rsid w:val="008C7EB7"/>
    <w:rsid w:val="008D3E36"/>
    <w:rsid w:val="00900FEE"/>
    <w:rsid w:val="0090100A"/>
    <w:rsid w:val="009053F7"/>
    <w:rsid w:val="0091380C"/>
    <w:rsid w:val="009460A1"/>
    <w:rsid w:val="00977DD3"/>
    <w:rsid w:val="009A2F15"/>
    <w:rsid w:val="009A4D05"/>
    <w:rsid w:val="009B6D9E"/>
    <w:rsid w:val="009D336A"/>
    <w:rsid w:val="009D5828"/>
    <w:rsid w:val="009F31C9"/>
    <w:rsid w:val="00A10C72"/>
    <w:rsid w:val="00A214D9"/>
    <w:rsid w:val="00A22622"/>
    <w:rsid w:val="00A2304F"/>
    <w:rsid w:val="00A26235"/>
    <w:rsid w:val="00A3152C"/>
    <w:rsid w:val="00AB5C62"/>
    <w:rsid w:val="00AE2B6A"/>
    <w:rsid w:val="00AE53E0"/>
    <w:rsid w:val="00AF2C7C"/>
    <w:rsid w:val="00AF422F"/>
    <w:rsid w:val="00B059BA"/>
    <w:rsid w:val="00B37644"/>
    <w:rsid w:val="00B51AA4"/>
    <w:rsid w:val="00B80F53"/>
    <w:rsid w:val="00B826D6"/>
    <w:rsid w:val="00B87AC9"/>
    <w:rsid w:val="00B9437E"/>
    <w:rsid w:val="00BB4740"/>
    <w:rsid w:val="00BC2963"/>
    <w:rsid w:val="00BE113A"/>
    <w:rsid w:val="00BF5438"/>
    <w:rsid w:val="00C04BC2"/>
    <w:rsid w:val="00C13136"/>
    <w:rsid w:val="00C23D0F"/>
    <w:rsid w:val="00C26FE1"/>
    <w:rsid w:val="00C27237"/>
    <w:rsid w:val="00C40F6C"/>
    <w:rsid w:val="00C544F2"/>
    <w:rsid w:val="00C57094"/>
    <w:rsid w:val="00C91822"/>
    <w:rsid w:val="00CB5ADD"/>
    <w:rsid w:val="00CD669F"/>
    <w:rsid w:val="00CE4CFF"/>
    <w:rsid w:val="00D10A38"/>
    <w:rsid w:val="00D84C67"/>
    <w:rsid w:val="00D9789B"/>
    <w:rsid w:val="00DA1115"/>
    <w:rsid w:val="00DA3604"/>
    <w:rsid w:val="00DA6BE0"/>
    <w:rsid w:val="00DC6FA1"/>
    <w:rsid w:val="00DE78D6"/>
    <w:rsid w:val="00DF24EB"/>
    <w:rsid w:val="00E01CAB"/>
    <w:rsid w:val="00E07CE5"/>
    <w:rsid w:val="00E353F7"/>
    <w:rsid w:val="00E36C2E"/>
    <w:rsid w:val="00E4192B"/>
    <w:rsid w:val="00E41F5E"/>
    <w:rsid w:val="00E42CCB"/>
    <w:rsid w:val="00E43627"/>
    <w:rsid w:val="00E61EA6"/>
    <w:rsid w:val="00E7543E"/>
    <w:rsid w:val="00E83386"/>
    <w:rsid w:val="00E86B02"/>
    <w:rsid w:val="00EB3324"/>
    <w:rsid w:val="00ED0DE9"/>
    <w:rsid w:val="00EF12A7"/>
    <w:rsid w:val="00F04523"/>
    <w:rsid w:val="00F10383"/>
    <w:rsid w:val="00F33EB4"/>
    <w:rsid w:val="00F36691"/>
    <w:rsid w:val="00F50490"/>
    <w:rsid w:val="00F51A79"/>
    <w:rsid w:val="00F67F2B"/>
    <w:rsid w:val="00F77390"/>
    <w:rsid w:val="00F861D7"/>
    <w:rsid w:val="00F877A8"/>
    <w:rsid w:val="00F91AD1"/>
    <w:rsid w:val="00FA568C"/>
    <w:rsid w:val="00FB178E"/>
    <w:rsid w:val="00FB1E08"/>
    <w:rsid w:val="00FB477E"/>
  </w:rsids>
  <m:mathPr>
    <m:mathFont m:val="Cambria Math"/>
    <m:brkBin m:val="before"/>
    <m:brkBinSub m:val="--"/>
    <m:smallFrac/>
    <m:dispDef/>
    <m:lMargin m:val="0"/>
    <m:rMargin m:val="0"/>
    <m:defJc m:val="centerGroup"/>
    <m:wrapIndent m:val="3456"/>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31B34"/>
  <w15:chartTrackingRefBased/>
  <w15:docId w15:val="{3888B60C-7274-4A8F-BB00-43B71918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70967"/>
    <w:pPr>
      <w:keepNext/>
      <w:keepLines/>
      <w:spacing w:after="0"/>
      <w:ind w:right="12"/>
      <w:jc w:val="center"/>
      <w:outlineLvl w:val="0"/>
    </w:pPr>
    <w:rPr>
      <w:rFonts w:ascii="Cambria" w:eastAsia="Cambria" w:hAnsi="Cambria" w:cs="Cambria"/>
      <w:b/>
      <w:color w:val="000000"/>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967"/>
  </w:style>
  <w:style w:type="paragraph" w:styleId="Footer">
    <w:name w:val="footer"/>
    <w:basedOn w:val="Normal"/>
    <w:link w:val="FooterChar"/>
    <w:uiPriority w:val="99"/>
    <w:unhideWhenUsed/>
    <w:rsid w:val="00470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967"/>
  </w:style>
  <w:style w:type="character" w:customStyle="1" w:styleId="Heading1Char">
    <w:name w:val="Heading 1 Char"/>
    <w:basedOn w:val="DefaultParagraphFont"/>
    <w:link w:val="Heading1"/>
    <w:uiPriority w:val="9"/>
    <w:rsid w:val="00470967"/>
    <w:rPr>
      <w:rFonts w:ascii="Cambria" w:eastAsia="Cambria" w:hAnsi="Cambria" w:cs="Cambria"/>
      <w:b/>
      <w:color w:val="000000"/>
      <w:kern w:val="0"/>
      <w:sz w:val="26"/>
      <w14:ligatures w14:val="none"/>
    </w:rPr>
  </w:style>
  <w:style w:type="paragraph" w:customStyle="1" w:styleId="PENULIS">
    <w:name w:val="PENULIS"/>
    <w:basedOn w:val="Normal"/>
    <w:qFormat/>
    <w:rsid w:val="006D0718"/>
    <w:pPr>
      <w:spacing w:before="120" w:after="0" w:line="240" w:lineRule="auto"/>
      <w:jc w:val="center"/>
    </w:pPr>
    <w:rPr>
      <w:rFonts w:ascii="Garamond" w:hAnsi="Garamond"/>
      <w:bCs/>
      <w:caps/>
      <w:spacing w:val="30"/>
      <w:kern w:val="0"/>
      <w:sz w:val="19"/>
      <w:szCs w:val="24"/>
      <w14:ligatures w14:val="none"/>
    </w:rPr>
  </w:style>
  <w:style w:type="paragraph" w:customStyle="1" w:styleId="ABSTRACTJUDUL">
    <w:name w:val="ABSTRACT JUDUL"/>
    <w:basedOn w:val="Normal"/>
    <w:qFormat/>
    <w:rsid w:val="006D0718"/>
    <w:pPr>
      <w:spacing w:after="0" w:line="240" w:lineRule="auto"/>
      <w:ind w:left="170"/>
    </w:pPr>
    <w:rPr>
      <w:rFonts w:ascii="Garamond" w:hAnsi="Garamond"/>
      <w:b/>
      <w:i/>
      <w:kern w:val="0"/>
      <w:szCs w:val="20"/>
      <w14:ligatures w14:val="none"/>
    </w:rPr>
  </w:style>
  <w:style w:type="paragraph" w:customStyle="1" w:styleId="KEYWORD">
    <w:name w:val="KEYWORD"/>
    <w:basedOn w:val="Normal"/>
    <w:qFormat/>
    <w:rsid w:val="006D0718"/>
    <w:pPr>
      <w:spacing w:before="120" w:after="0" w:line="240" w:lineRule="auto"/>
      <w:ind w:left="1304" w:hanging="1134"/>
      <w:jc w:val="both"/>
    </w:pPr>
    <w:rPr>
      <w:rFonts w:ascii="Garamond" w:hAnsi="Garamond"/>
      <w:bCs/>
      <w:kern w:val="0"/>
      <w:szCs w:val="20"/>
      <w14:ligatures w14:val="none"/>
    </w:rPr>
  </w:style>
  <w:style w:type="paragraph" w:customStyle="1" w:styleId="INSTANSI">
    <w:name w:val="INSTANSI"/>
    <w:basedOn w:val="Normal"/>
    <w:qFormat/>
    <w:rsid w:val="006D0718"/>
    <w:pPr>
      <w:spacing w:after="0" w:line="240" w:lineRule="auto"/>
      <w:jc w:val="center"/>
    </w:pPr>
    <w:rPr>
      <w:rFonts w:ascii="Garamond" w:hAnsi="Garamond"/>
      <w:bCs/>
      <w:i/>
      <w:kern w:val="0"/>
      <w:szCs w:val="24"/>
      <w14:ligatures w14:val="none"/>
    </w:rPr>
  </w:style>
  <w:style w:type="table" w:styleId="TableGrid">
    <w:name w:val="Table Grid"/>
    <w:basedOn w:val="TableNormal"/>
    <w:uiPriority w:val="39"/>
    <w:rsid w:val="006D0718"/>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3129E"/>
    <w:pPr>
      <w:spacing w:after="200" w:line="240" w:lineRule="auto"/>
    </w:pPr>
    <w:rPr>
      <w:i/>
      <w:iCs/>
      <w:color w:val="44546A" w:themeColor="text2"/>
      <w:sz w:val="18"/>
      <w:szCs w:val="18"/>
    </w:rPr>
  </w:style>
  <w:style w:type="paragraph" w:styleId="ListParagraph">
    <w:name w:val="List Paragraph"/>
    <w:basedOn w:val="Normal"/>
    <w:link w:val="ListParagraphChar"/>
    <w:uiPriority w:val="34"/>
    <w:qFormat/>
    <w:rsid w:val="00A10C72"/>
    <w:pPr>
      <w:ind w:left="720"/>
      <w:contextualSpacing/>
    </w:pPr>
    <w:rPr>
      <w:kern w:val="0"/>
      <w:lang w:val="id-ID"/>
      <w14:ligatures w14:val="none"/>
    </w:rPr>
  </w:style>
  <w:style w:type="character" w:customStyle="1" w:styleId="ListParagraphChar">
    <w:name w:val="List Paragraph Char"/>
    <w:link w:val="ListParagraph"/>
    <w:uiPriority w:val="34"/>
    <w:locked/>
    <w:rsid w:val="00A10C72"/>
    <w:rPr>
      <w:kern w:val="0"/>
      <w:lang w:val="id-ID"/>
      <w14:ligatures w14:val="none"/>
    </w:rPr>
  </w:style>
  <w:style w:type="character" w:customStyle="1" w:styleId="longtext">
    <w:name w:val="long_text"/>
    <w:basedOn w:val="DefaultParagraphFont"/>
    <w:rsid w:val="00A10C72"/>
  </w:style>
  <w:style w:type="character" w:styleId="FootnoteReference">
    <w:name w:val="footnote reference"/>
    <w:basedOn w:val="DefaultParagraphFont"/>
    <w:uiPriority w:val="99"/>
    <w:semiHidden/>
    <w:unhideWhenUsed/>
    <w:rsid w:val="00A10C72"/>
    <w:rPr>
      <w:vertAlign w:val="superscript"/>
    </w:rPr>
  </w:style>
  <w:style w:type="character" w:styleId="Hyperlink">
    <w:name w:val="Hyperlink"/>
    <w:basedOn w:val="DefaultParagraphFont"/>
    <w:uiPriority w:val="99"/>
    <w:unhideWhenUsed/>
    <w:rsid w:val="00A10C72"/>
    <w:rPr>
      <w:color w:val="0563C1" w:themeColor="hyperlink"/>
      <w:u w:val="single"/>
    </w:rPr>
  </w:style>
  <w:style w:type="paragraph" w:styleId="FootnoteText">
    <w:name w:val="footnote text"/>
    <w:basedOn w:val="Normal"/>
    <w:link w:val="FootnoteTextChar"/>
    <w:uiPriority w:val="99"/>
    <w:unhideWhenUsed/>
    <w:rsid w:val="006A242E"/>
    <w:pPr>
      <w:spacing w:after="0" w:line="240" w:lineRule="auto"/>
    </w:pPr>
    <w:rPr>
      <w:sz w:val="20"/>
      <w:szCs w:val="20"/>
    </w:rPr>
  </w:style>
  <w:style w:type="character" w:customStyle="1" w:styleId="FootnoteTextChar">
    <w:name w:val="Footnote Text Char"/>
    <w:basedOn w:val="DefaultParagraphFont"/>
    <w:link w:val="FootnoteText"/>
    <w:uiPriority w:val="99"/>
    <w:rsid w:val="006A242E"/>
    <w:rPr>
      <w:sz w:val="20"/>
      <w:szCs w:val="20"/>
    </w:rPr>
  </w:style>
  <w:style w:type="character" w:styleId="Strong">
    <w:name w:val="Strong"/>
    <w:basedOn w:val="DefaultParagraphFont"/>
    <w:uiPriority w:val="22"/>
    <w:qFormat/>
    <w:rsid w:val="00CD669F"/>
    <w:rPr>
      <w:b/>
      <w:bCs/>
    </w:rPr>
  </w:style>
  <w:style w:type="paragraph" w:customStyle="1" w:styleId="mb-2">
    <w:name w:val="mb-2"/>
    <w:basedOn w:val="Normal"/>
    <w:rsid w:val="003D46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F4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ayat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palangkaraya.go.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u.lipi.go.id/1522316519" TargetMode="External"/><Relationship Id="rId3" Type="http://schemas.openxmlformats.org/officeDocument/2006/relationships/hyperlink" Target="http://u.lipi.go.id/1499469613" TargetMode="External"/><Relationship Id="rId7" Type="http://schemas.openxmlformats.org/officeDocument/2006/relationships/hyperlink" Target="http://u.lipi.go.id/1522316519" TargetMode="External"/><Relationship Id="rId2" Type="http://schemas.openxmlformats.org/officeDocument/2006/relationships/image" Target="media/image10.jpeg"/><Relationship Id="rId1" Type="http://schemas.openxmlformats.org/officeDocument/2006/relationships/image" Target="media/image2.jpeg"/><Relationship Id="rId6" Type="http://schemas.openxmlformats.org/officeDocument/2006/relationships/hyperlink" Target="http://u.lipi.go.id/1499469613" TargetMode="External"/><Relationship Id="rId5" Type="http://schemas.openxmlformats.org/officeDocument/2006/relationships/hyperlink" Target="http://u.lipi.go.id/1499469613" TargetMode="External"/><Relationship Id="rId10" Type="http://schemas.openxmlformats.org/officeDocument/2006/relationships/hyperlink" Target="http://u.lipi.go.id/1522316519" TargetMode="External"/><Relationship Id="rId4" Type="http://schemas.openxmlformats.org/officeDocument/2006/relationships/hyperlink" Target="http://u.lipi.go.id/1499469613" TargetMode="External"/><Relationship Id="rId9" Type="http://schemas.openxmlformats.org/officeDocument/2006/relationships/hyperlink" Target="http://u.lipi.go.id/1522316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34DD977-0943-46D6-B4C5-3A70AA13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TotalTime>
  <Pages>19</Pages>
  <Words>16923</Words>
  <Characters>96467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Warsimin</dc:creator>
  <cp:lastModifiedBy>Ainul Fatha Isman</cp:lastModifiedBy>
  <cp:revision>11</cp:revision>
  <cp:lastPrinted>2025-04-21T22:55:00Z</cp:lastPrinted>
  <dcterms:created xsi:type="dcterms:W3CDTF">2025-02-15T05:01:00Z</dcterms:created>
  <dcterms:modified xsi:type="dcterms:W3CDTF">2025-04-21T22:56:00Z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http://www.zotero.org/styles/american-sociological-association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1132a956-c158-32db-b33b-32e80d17e2ee</vt:lpwstr>
  </property>
</Properties>
</file>